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الرحمن القصاب أبو أحمد الكرجي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عبد الرحمن القصاب أبو أحمد الكرجي 
</w:t>
      </w:r>
    </w:p>
    <w:p>
      <w:pPr/>
      <w:r>
        <w:rPr/>
        <w:t xml:space="preserve">محمد بن عليّ بن عبد الرّحمن القصّاب، أبو أحمد الكرجيّ. </w:t>
      </w:r>
    </w:p>
    <w:p/>
    <w:p>
      <w:pPr/>
      <w:r>
        <w:rPr/>
        <w:t xml:space="preserve">كان فقيها عالما، وله تصانيف منها: كتاب السّنة، وكتاب التفسير،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2026-10-14T23:10:48+03:00</dcterms:created>
  <dcterms:modified xsi:type="dcterms:W3CDTF">2026-10-14T23:10:48+03:00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