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سهل الهروي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سهل الهروي 
</w:t>
      </w:r>
    </w:p>
    <w:p>
      <w:pPr/>
      <w:r>
        <w:rPr/>
        <w:t xml:space="preserve">محمد بن علي، أبو سهل الهرويّ. </w:t>
      </w:r>
    </w:p>
    <w:p/>
    <w:p>
      <w:pPr/>
      <w:r>
        <w:rPr/>
        <w:t xml:space="preserve">كان أديبا لغويّا، يدرّس النّحو في جامع عمرو بن العاص. وقد صنّف كتاب الغريبين: القرآن والحديث، وكتاب شرح الفصيح لثعلب، وكتاب الأسد في مجلّد في نحو ثلاثين كرّاسا، وكتاب السّيف ذكر له ثمان مائة اسم.</w:t>
      </w:r>
    </w:p>
    <w:p/>
    <w:p>
      <w:pPr/>
      <w:r>
        <w:rPr/>
        <w:t xml:space="preserve">كانت وفاته في شهر رمضان من سنة اثنتين وسبعين وثلاث مائة عن ستّ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2026-10-14T23:06:58+03:00</dcterms:created>
  <dcterms:modified xsi:type="dcterms:W3CDTF">2026-10-14T23:06:58+03:00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