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أحمد بن أزهر بن طلحة بن نوح بن حاتم بن سعيد بن عبد الرحمن الأزهري أبو منصور اللغوي الأديب الشافعي المذهب المقرئ 
</w:t>
      </w:r>
    </w:p>
    <w:p>
      <w:pPr>
        <w:jc w:val="start"/>
        <w:bidi/>
      </w:pPr>
      <w:r>
        <w:rPr>
          <w:rFonts w:ascii="arial" w:hAnsi="arial" w:eastAsia="arial" w:cs="arial"/>
          <w:sz w:val="28"/>
          <w:szCs w:val="28"/>
          <w:b w:val="1"/>
          <w:bCs w:val="1"/>
          <w:rtl/>
        </w:rPr>
        <w:t xml:space="preserve">محمد بن أحمد بن أزهر بن طلحة بن نوح بن حاتم بن سعيد بن عبد الرحمن الأزهري أبو منصور اللغوي الأديب الشافعي المذهب المقرئ 
</w:t>
      </w:r>
    </w:p>
    <w:p>
      <w:pPr/>
      <w:r>
        <w:rPr/>
        <w:t xml:space="preserve">محمد بن أحمد بن أزهر بن طلحة بن نوح بن حاتم بن سعيد بن عبد الرّحمن الأزهريّ، أبو منصور اللّغوي، الأديب الشافعيّ المذهب، المقرئ. </w:t>
      </w:r>
    </w:p>
    <w:p/>
    <w:p>
      <w:pPr/>
      <w:r>
        <w:rPr/>
        <w:t xml:space="preserve">أخذ اللّغة عن أبي خليفة الجمحيّ، وأخذ الفقه عن الرّبيع بن سليمان عن الشافعيّ. وورد بغداد، وأدرك أبا بكر محمد بن دريد، وأخذ عن إبراهيم بن عرفة نفطويه، وعن ابن السّرّاج. وصنّف كتاب تهذيب اللّغة، وكتاب معرفة الصّبح، وكتاب التقريب في التفسير، وكتاب تفسير ألفاظ كتاب المزني، وكتاب علل القراءات، وكتابا في الرّوح وما جاء فيه من القرآن والسّنة، وكتاب تفسير أسماء الله تعالى، وكتاب معاني شواهد غريب الحديث، وكتاب تفسير إصلاح المنطق، وكتاب الردّ على اللّيث، وكتاب تفسير السّبع الطّوال، وكتاب تفسير شعر أبي تمّام، وكتاب الأدوات.</w:t>
      </w:r>
    </w:p>
    <w:p/>
    <w:p>
      <w:pPr/>
      <w:r>
        <w:rPr/>
        <w:t xml:space="preserve">وكانت وفاته في سنة سبعين وثلاث مائة.</w:t>
      </w:r>
    </w:p>
    <w:p>
      <w:pPr>
        <w:jc w:val="start"/>
        <w:bidi/>
      </w:pPr>
      <w:r>
        <w:rPr>
          <w:sz w:val="24"/>
          <w:szCs w:val="24"/>
          <w:b w:val="1"/>
          <w:bCs w:val="1"/>
          <w:rtl/>
        </w:rPr>
        <w:t xml:space="preserve">
الدر الثمين في أسماء المصنفين،(دار الغرب الإسلامي - تونس،2009،ط 1،ج 1،ص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2026-10-15T00:13:45+03:00</dcterms:created>
  <dcterms:modified xsi:type="dcterms:W3CDTF">2026-10-15T00:13:45+03:00</dcterms:modified>
</cp:coreProperties>
</file>

<file path=docProps/custom.xml><?xml version="1.0" encoding="utf-8"?>
<Properties xmlns="http://schemas.openxmlformats.org/officeDocument/2006/custom-properties" xmlns:vt="http://schemas.openxmlformats.org/officeDocument/2006/docPropsVTypes"/>
</file>