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أحمد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أحمد الرقي
</w:t>
      </w:r>
    </w:p>
    <w:p>
      <w:pPr/>
      <w:r>
        <w:rPr/>
        <w:t xml:space="preserve">هانئ بن أحمد الرقي </w:t>
      </w:r>
    </w:p>
    <w:p/>
    <w:p>
      <w:pPr/>
      <w:r>
        <w:rPr/>
        <w:t xml:space="preserve">أصله من بغداد سكن الرقة</w:t>
      </w:r>
    </w:p>
    <w:p/>
    <w:p>
      <w:pPr/>
      <w:r>
        <w:rPr/>
        <w:t xml:space="preserve">يروي عن أبي الجواب وأبي نعيم ثنا عنه وصيف الأنطاكي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2026-10-15T23:32:50+03:00</dcterms:created>
  <dcterms:modified xsi:type="dcterms:W3CDTF">2026-10-15T23:32:50+03:00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