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نوح بن ميمون
</w:t>
      </w:r>
    </w:p>
    <w:p>
      <w:pPr/>
      <w:r>
        <w:rPr/>
        <w:t xml:space="preserve">نوح بن ميمون </w:t>
      </w:r>
    </w:p>
    <w:p/>
    <w:p>
      <w:pPr/>
      <w:r>
        <w:rPr/>
        <w:t xml:space="preserve">من أهل مرو كان يسكن في قصيعة الربيع ببغداد</w:t>
      </w:r>
    </w:p>
    <w:p/>
    <w:p>
      <w:pPr/>
      <w:r>
        <w:rPr/>
        <w:t xml:space="preserve">يروي عن سفيان الثوري وهو الذي يقال له المضروب في وجهه روى عنه محمد بن عبيد الأسدي الهمداني ويحيى بن سهيل السلمي البخاري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2026-10-17T05:20:07+03:00</dcterms:created>
  <dcterms:modified xsi:type="dcterms:W3CDTF">2026-10-17T05:20:07+03:00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