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العيدروس
</w:t>
      </w:r>
    </w:p>
    <w:p>
      <w:pPr/>
      <w:r>
        <w:rPr/>
        <w:t xml:space="preserve">جعفر العيدروس  جعفر بن علي بن عبد الله بن شيخ، من آل العيدروس: فاضل حضرمي. ولد في تريم (بحضرموت) ورحل إلى الحجاز والهند، وأتقن الأردية والفارسية، واستقر في مدينة (سورت) بالهند إلى أن توفي. له جزء في (التاريخ) و (دوائر) في الفرائض، و (تحفة الأصفياء بترجمة سفينة الأولياء) و (ديوان) منظوماته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2026-09-21T19:00:02+03:00</dcterms:created>
  <dcterms:modified xsi:type="dcterms:W3CDTF">2026-09-21T19:00:02+03:00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