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عمرو بن ميمون بن الرماح السعدي أبو عبد الرحمن البلخي
</w:t>
      </w:r>
    </w:p>
    <w:p>
      <w:pPr>
        <w:jc w:val="start"/>
        <w:bidi/>
      </w:pPr>
      <w:r>
        <w:rPr>
          <w:rFonts w:ascii="arial" w:hAnsi="arial" w:eastAsia="arial" w:cs="arial"/>
          <w:sz w:val="28"/>
          <w:szCs w:val="28"/>
          <w:b w:val="1"/>
          <w:bCs w:val="1"/>
          <w:rtl/>
        </w:rPr>
        <w:t xml:space="preserve">عبد الله بن عمرو بن ميمون بن الرماح السعدي أبو عبد الرحمن البلخي
</w:t>
      </w:r>
    </w:p>
    <w:p>
      <w:pPr/>
      <w:r>
        <w:rPr/>
        <w:t xml:space="preserve">عبد الله بن عمرو بن ميمون بن الرماح السعدي أبو عبد الرحمن البلخي </w:t>
      </w:r>
    </w:p>
    <w:p/>
    <w:p>
      <w:pPr/>
      <w:r>
        <w:rPr/>
        <w:t xml:space="preserve">قاضي نيسابور</w:t>
      </w:r>
    </w:p>
    <w:p/>
    <w:p>
      <w:pPr/>
      <w:r>
        <w:rPr/>
        <w:t xml:space="preserve">يروي عن مالك ووكيع وأهل العراق حدثنا عنه الحسين بن إدريس الأنصاري وعبد الله بن محمد الأزدي مستقيم الحديث إذا حدث عن الثقات وقد قيل كنيته أبو محمد وكان مرجئا مات سنة أربع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2026-10-17T23:10:20+03:00</dcterms:created>
  <dcterms:modified xsi:type="dcterms:W3CDTF">2026-10-17T23:10:20+03:00</dcterms:modified>
</cp:coreProperties>
</file>

<file path=docProps/custom.xml><?xml version="1.0" encoding="utf-8"?>
<Properties xmlns="http://schemas.openxmlformats.org/officeDocument/2006/custom-properties" xmlns:vt="http://schemas.openxmlformats.org/officeDocument/2006/docPropsVTypes"/>
</file>