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إبراهيم بن هاشم بن يحيى بن يحيى بن قيس الغساني أبو إسحاق
</w:t>
      </w:r>
    </w:p>
    <w:p>
      <w:pPr>
        <w:jc w:val="start"/>
        <w:bidi/>
      </w:pPr>
      <w:r>
        <w:rPr>
          <w:rFonts w:ascii="arial" w:hAnsi="arial" w:eastAsia="arial" w:cs="arial"/>
          <w:sz w:val="28"/>
          <w:szCs w:val="28"/>
          <w:b w:val="1"/>
          <w:bCs w:val="1"/>
          <w:rtl/>
        </w:rPr>
        <w:t xml:space="preserve">إبراهيم بن هاشم بن يحيى بن يحيى بن قيس الغساني أبو إسحاق
</w:t>
      </w:r>
    </w:p>
    <w:p>
      <w:pPr/>
      <w:r>
        <w:rPr/>
        <w:t xml:space="preserve">إبراهيم بن هاشم بن يحيى بن يحيى بن قيس الغساني أبو إسحاق </w:t>
      </w:r>
    </w:p>
    <w:p/>
    <w:p>
      <w:pPr/>
      <w:r>
        <w:rPr/>
        <w:t xml:space="preserve">يروي عن أبيه وسعيد بن عبد العزيز وأبي اليمان عداده في أهل دمشق كان يسكن بيت لهيا حدثنا عنه الحسن بن عبد الله القطان وغيره مات في سنة خمس وأربعين ومائتين أو قبلها أو بعدها بقليل</w:t>
      </w:r>
    </w:p>
    <w:p>
      <w:pPr>
        <w:jc w:val="start"/>
        <w:bidi/>
      </w:pPr>
      <w:r>
        <w:rPr>
          <w:sz w:val="24"/>
          <w:szCs w:val="24"/>
          <w:b w:val="1"/>
          <w:bCs w:val="1"/>
          <w:rtl/>
        </w:rPr>
        <w:t xml:space="preserve">
الثقات لابن حبان،(دائرة المعارف العثمانية بحيدر آباد الدكن الهند،1973،ط 1،ج 8،ص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2026-10-18T04:34:09+03:00</dcterms:created>
  <dcterms:modified xsi:type="dcterms:W3CDTF">2026-10-18T04:34:09+03:00</dcterms:modified>
</cp:coreProperties>
</file>

<file path=docProps/custom.xml><?xml version="1.0" encoding="utf-8"?>
<Properties xmlns="http://schemas.openxmlformats.org/officeDocument/2006/custom-properties" xmlns:vt="http://schemas.openxmlformats.org/officeDocument/2006/docPropsVTypes"/>
</file>