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إسماعيل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إسماعيل المدني
</w:t>
      </w:r>
    </w:p>
    <w:p>
      <w:pPr/>
      <w:r>
        <w:rPr/>
        <w:t xml:space="preserve">معلى بن إسماعيل المدني </w:t>
      </w:r>
    </w:p>
    <w:p/>
    <w:p>
      <w:pPr/>
      <w:r>
        <w:rPr/>
        <w:t xml:space="preserve">يروي عن نافع روى عنه أرطأة بن المنذر بنسخة مستقيمة فيها غرائب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إسماعيل الحمصي
</w:t>
      </w:r>
    </w:p>
    <w:p>
      <w:pPr/>
      <w:r>
        <w:rPr/>
        <w:t xml:space="preserve">معلى بن إسماعيل الحمصي </w:t>
      </w:r>
    </w:p>
    <w:p/>
    <w:p>
      <w:pPr/>
      <w:r>
        <w:rPr/>
        <w:t xml:space="preserve">روى عن نافع وأبي الزبير روى عنه أرطاة بن المنذر سألت أبي عنه فقال ليس بحديثه بأس صالح الحديث لم يرو عنه غير أرطاة.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2026-10-19T16:53:59+03:00</dcterms:created>
  <dcterms:modified xsi:type="dcterms:W3CDTF">2026-10-19T16:53:59+03:00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