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إسماعيل 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إسماعيل التوني
</w:t>
      </w:r>
    </w:p>
    <w:p>
      <w:pPr/>
      <w:r>
        <w:rPr/>
        <w:t xml:space="preserve">السيد إسماعيل التوني توفي سنة 1260.</w:t>
      </w:r>
    </w:p>
    <w:p/>
    <w:p>
      <w:pPr/>
      <w:r>
        <w:rPr/>
        <w:t xml:space="preserve">التوني نسبة إلى تون بلدة من أعمال خراسان. في نجوم السماء: كان من فضلاء عصره ومجتهدي زمانه وكان جميع أهل خراسان من معاصريه المعروفين يعترفون بفضله واجتهاده.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2026-07-28T17:32:23+03:00</dcterms:created>
  <dcterms:modified xsi:type="dcterms:W3CDTF">2026-07-28T17:32:23+03:00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