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محمد بن يوسف بن عفيف الخزرجي الساعدي.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محمد بن يوسف بن عفيف الخزرجي الساعدي.
</w:t>
      </w:r>
    </w:p>
    <w:p>
      <w:pPr/>
      <w:r>
        <w:rPr/>
        <w:t xml:space="preserve">علي بن محمد بن يوسف بن عفيف الخزرجي الساعدي. </w:t>
      </w:r>
    </w:p>
    <w:p/>
    <w:p/>
    <w:p>
      <w:pPr/>
      <w:r>
        <w:rPr/>
        <w:t xml:space="preserve">من أهل غرناطة ويعرف بالخزرجي، الأديب الفاضل، المعمر، ضياء الدين أبو الحسن.</w:t>
      </w:r>
    </w:p>
    <w:p/>
    <w:p/>
    <w:p>
      <w:pPr/>
      <w:r>
        <w:rPr/>
        <w:t xml:space="preserve">رحل عن الأندلس قديما، واستقر بالإسكندرية. كتب عنه بالإجازة ابن رشيد؛ لتعذر بصره في ثامن جمادى الأخيرة سنة 684.</w:t>
      </w:r>
    </w:p>
    <w:p/>
    <w:p/>
    <w:p>
      <w:pPr/>
      <w:r>
        <w:rPr/>
        <w:t xml:space="preserve">ولد في حدود 590 وجمع بعض شعره في ديوان سماه المواجد الخزرجية. سمع جعفر الهمداني، وقرأ عليه «الملخص» للقابسي، وكتاب «كفاية المتحفظ» في اللغة: تصنيف إبراهيم بن إسماعيل، وسمع أيضاً على أبي الحافظ: الخطاب بن دحية وعلى أبي عمود بن دحية موطأ مالك، رواية يحيى ابن يحيى.</w:t>
      </w:r>
    </w:p>
    <w:p/>
    <w:p/>
    <w:p>
      <w:pPr/>
      <w:r>
        <w:rPr/>
        <w:t xml:space="preserve">* من نظمه:</w:t>
      </w:r>
    </w:p>
    <w:p/>
    <w:p/>
    <w:p>
      <w:pPr>
        <w:jc w:val="center"/>
      </w:pPr>
      <w:r>
        <w:rPr>
          <w:color w:val="ff0000"/>
        </w:rPr>
        <w:t xml:space="preserve">بأمر دنياك لا تغفل وكن حذرا</w:t>
      </w:r>
      <w:r>
        <w:rPr>
          <w:color w:val="ff0000"/>
        </w:rPr>
        <w:t xml:space="preserve">      </w:t>
      </w:r>
      <w:r>
        <w:rPr>
          <w:color w:val="ff0000"/>
        </w:rPr>
        <w:t xml:space="preserve">فقد أبانت لأرباب النهى عبرا </w:t>
      </w:r>
    </w:p>
    <w:p/>
    <w:p/>
    <w:p>
      <w:pPr>
        <w:jc w:val="center"/>
      </w:pPr>
      <w:r>
        <w:rPr>
          <w:color w:val="ff0000"/>
        </w:rPr>
        <w:t xml:space="preserve">فأي عيش بها ما شابه غير</w:t>
      </w:r>
      <w:r>
        <w:rPr>
          <w:color w:val="ff0000"/>
        </w:rPr>
        <w:t xml:space="preserve">      </w:t>
      </w:r>
      <w:r>
        <w:rPr>
          <w:color w:val="ff0000"/>
        </w:rPr>
        <w:t xml:space="preserve">وأي صفو تناهى لم يصر كدرا؟ </w:t>
      </w:r>
    </w:p>
    <w:p/>
    <w:p/>
    <w:p>
      <w:pPr>
        <w:jc w:val="center"/>
      </w:pPr>
      <w:r>
        <w:rPr>
          <w:color w:val="ff0000"/>
        </w:rPr>
        <w:t xml:space="preserve">كم سالم أسلمته للردى فقضي</w:t>
      </w:r>
      <w:r>
        <w:rPr>
          <w:color w:val="ff0000"/>
        </w:rPr>
        <w:t xml:space="preserve">      </w:t>
      </w:r>
      <w:r>
        <w:rPr>
          <w:color w:val="ff0000"/>
        </w:rPr>
        <w:t xml:space="preserve">حتفا ولم يقض من لذاتها وطرا!!</w:t>
      </w:r>
    </w:p>
    <w:p/>
    <w:p/>
    <w:p>
      <w:pPr>
        <w:jc w:val="center"/>
      </w:pPr>
      <w:r>
        <w:rPr>
          <w:color w:val="ff0000"/>
        </w:rPr>
        <w:t xml:space="preserve">ومترف قلبت ظهر المجن له</w:t>
      </w:r>
      <w:r>
        <w:rPr>
          <w:color w:val="ff0000"/>
        </w:rPr>
        <w:t xml:space="preserve">      </w:t>
      </w:r>
      <w:r>
        <w:rPr>
          <w:color w:val="ff0000"/>
        </w:rPr>
        <w:t xml:space="preserve">فعاد - بعد علو القدر - محتقرا</w:t>
      </w:r>
    </w:p>
    <w:p/>
    <w:p/>
    <w:p>
      <w:pPr>
        <w:jc w:val="center"/>
      </w:pPr>
      <w:r>
        <w:rPr>
          <w:color w:val="ff0000"/>
        </w:rPr>
        <w:t xml:space="preserve">فأبعدنها ولا تلهج بزخرفها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وغض طرفك عنه قل أو كثرا</w:t>
      </w:r>
    </w:p>
    <w:p/>
    <w:p/>
    <w:p>
      <w:pPr>
        <w:jc w:val="center"/>
      </w:pPr>
      <w:r>
        <w:rPr>
          <w:color w:val="ff0000"/>
        </w:rPr>
        <w:t xml:space="preserve">فكل شيء تراه العين من حسن</w:t>
      </w:r>
      <w:r>
        <w:rPr>
          <w:color w:val="ff0000"/>
        </w:rPr>
        <w:t xml:space="preserve">      </w:t>
      </w:r>
      <w:r>
        <w:rPr>
          <w:color w:val="ff0000"/>
        </w:rPr>
        <w:t xml:space="preserve">كر الأهلة لا يبقى له أثرا</w:t>
      </w:r>
    </w:p>
    <w:p/>
    <w:p/>
    <w:p>
      <w:pPr>
        <w:jc w:val="center"/>
      </w:pPr>
      <w:r>
        <w:rPr>
          <w:color w:val="ff0000"/>
        </w:rPr>
        <w:t xml:space="preserve">وأصحب وصل وواصل كل آونة</w:t>
      </w:r>
      <w:r>
        <w:rPr>
          <w:color w:val="ff0000"/>
        </w:rPr>
        <w:t xml:space="preserve">      </w:t>
      </w:r>
      <w:r>
        <w:rPr>
          <w:color w:val="ff0000"/>
        </w:rPr>
        <w:t xml:space="preserve">على النبي سلاما طيبا عطرا</w:t>
      </w:r>
    </w:p>
    <w:p/>
    <w:p/>
    <w:p>
      <w:pPr>
        <w:jc w:val="center"/>
      </w:pPr>
      <w:r>
        <w:rPr>
          <w:color w:val="ff0000"/>
        </w:rPr>
        <w:t xml:space="preserve">وصحبه ومن استهدى بهديهم</w:t>
      </w:r>
      <w:r>
        <w:rPr>
          <w:color w:val="ff0000"/>
        </w:rPr>
        <w:t xml:space="preserve">      </w:t>
      </w:r>
      <w:r>
        <w:rPr>
          <w:color w:val="ff0000"/>
        </w:rPr>
        <w:t xml:space="preserve">فهم أئمة من صلى ومن ذكرا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درة الحجال في أسماء الرجال / ذيل وفيات الأعيان،(دار التراث العربي - القاهرة،1972،ط 1،ج 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2026-07-29T08:26:06+03:00</dcterms:created>
  <dcterms:modified xsi:type="dcterms:W3CDTF">2026-07-29T08:26:06+03:00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