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عتيق بن أحمد بن محمد بن يحيى الفراء الغساني.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عتيق بن أحمد بن محمد بن يحيى الفراء الغساني.
</w:t>
      </w:r>
    </w:p>
    <w:p>
      <w:pPr/>
      <w:r>
        <w:rPr/>
        <w:t xml:space="preserve">عتيق بن أحمد بن محمد بن يحيى الفراء الغساني. </w:t>
      </w:r>
    </w:p>
    <w:p/>
    <w:p/>
    <w:p>
      <w:pPr/>
      <w:r>
        <w:rPr/>
        <w:t xml:space="preserve">من أهل وادي آش المعروف بالوادي آشي.</w:t>
      </w:r>
    </w:p>
    <w:p/>
    <w:p/>
    <w:p>
      <w:pPr/>
      <w:r>
        <w:rPr/>
        <w:t xml:space="preserve">كان له مجلس بالجامع الأعظم، من حضرة غرناطة يفسر فيه القرآن العظيم، ويتكلم على الموطأ.</w:t>
      </w:r>
    </w:p>
    <w:p/>
    <w:p/>
    <w:p>
      <w:pPr/>
      <w:r>
        <w:rPr/>
        <w:t xml:space="preserve">وكان من أحفظ أهل زمانه، وله معرفة بالطب والعلاج، وشرح أرجوزة ابن سينا، ولعله لم يكمله. ولقد أجاد فيما قيد منه، وله جزء في فضائل سور القرآن، وكتاب سماه: «ناظر العين في مختصر البرهان لإمام الحرمين».</w:t>
      </w:r>
    </w:p>
    <w:p/>
    <w:p/>
    <w:p>
      <w:pPr/>
      <w:r>
        <w:rPr/>
        <w:t xml:space="preserve">ولى القضاء بالمنكب، وبشلوبانية وببرجة، وقضاء المرية.</w:t>
      </w:r>
    </w:p>
    <w:p/>
    <w:p/>
    <w:p>
      <w:pPr/>
      <w:r>
        <w:rPr/>
        <w:t xml:space="preserve">توفي يوم الجمعة الثالث والعشرين لرجب سنة 696.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2026-07-28T14:28:43+03:00</dcterms:created>
  <dcterms:modified xsi:type="dcterms:W3CDTF">2026-07-28T14:28:43+03:00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