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أحمد بن محمد بن عثمان المكناسي.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أحمد بن محمد بن عثمان المكناسي.
</w:t>
      </w:r>
    </w:p>
    <w:p>
      <w:pPr/>
      <w:r>
        <w:rPr/>
        <w:t xml:space="preserve">عبد الرحمن بن أحمد بن محمد بن عثمان المكناسي. </w:t>
      </w:r>
    </w:p>
    <w:p/>
    <w:p/>
    <w:p>
      <w:pPr/>
      <w:r>
        <w:rPr/>
        <w:t xml:space="preserve">نزيل فاس المحروسة، يستظهر مختصر خليل، وألفية ابن مالك.</w:t>
      </w:r>
    </w:p>
    <w:p/>
    <w:p/>
    <w:p>
      <w:pPr/>
      <w:r>
        <w:rPr/>
        <w:t xml:space="preserve">أخذ عن الحميدي، وأبي زكرياء: يحيى بن محمد السراج.</w:t>
      </w:r>
    </w:p>
    <w:p/>
    <w:p/>
    <w:p>
      <w:pPr/>
      <w:r>
        <w:rPr/>
        <w:t xml:space="preserve">حي من أهل العصر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2026-07-28T23:19:52+03:00</dcterms:created>
  <dcterms:modified xsi:type="dcterms:W3CDTF">2026-07-28T23:19:52+03:00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