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أحمد النيريزي
</w:t>
      </w:r>
    </w:p>
    <w:p>
      <w:pPr>
        <w:jc w:val="start"/>
        <w:bidi/>
      </w:pPr>
      <w:r>
        <w:rPr>
          <w:rFonts w:ascii="arial" w:hAnsi="arial" w:eastAsia="arial" w:cs="arial"/>
          <w:sz w:val="28"/>
          <w:szCs w:val="28"/>
          <w:b w:val="1"/>
          <w:bCs w:val="1"/>
          <w:rtl/>
        </w:rPr>
        <w:t xml:space="preserve">ميرزا أحمد النيريزي
</w:t>
      </w:r>
    </w:p>
    <w:p>
      <w:pPr/>
      <w:r>
        <w:rPr/>
        <w:t xml:space="preserve">ميرزا أحمد النيريزي بالنون والمثناتين التحتانيتين بينهما راء ثم زاي والني القصب وريزه الصغير بالفارسية أي مقطع القصب وقيل أن نيريز اسم بلد. من مشاهر الخطاطين في إيران في القرن الثاني عشر الهجري وجد بخطه عدة قرائين بعضها بتاريخ 1138. </w:t>
      </w:r>
    </w:p>
    <w:p>
      <w:pPr>
        <w:jc w:val="start"/>
        <w:bidi/>
      </w:pPr>
      <w:r>
        <w:rPr>
          <w:sz w:val="24"/>
          <w:szCs w:val="24"/>
          <w:b w:val="1"/>
          <w:bCs w:val="1"/>
          <w:rtl/>
        </w:rPr>
        <w:t xml:space="preserve">
أعيان الشيعة،(دار التعارف للمطبوعات - بيروت،1983،ط 1،ج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2026-07-29T10:39:00+03:00</dcterms:created>
  <dcterms:modified xsi:type="dcterms:W3CDTF">2026-07-29T10:39:00+03:00</dcterms:modified>
</cp:coreProperties>
</file>

<file path=docProps/custom.xml><?xml version="1.0" encoding="utf-8"?>
<Properties xmlns="http://schemas.openxmlformats.org/officeDocument/2006/custom-properties" xmlns:vt="http://schemas.openxmlformats.org/officeDocument/2006/docPropsVTypes"/>
</file>