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عبد الرحمن بن عبد الله بن عبد الرحمن
</w:t>
      </w:r>
    </w:p>
    <w:p>
      <w:pPr>
        <w:jc w:val="start"/>
        <w:bidi/>
      </w:pPr>
      <w:r>
        <w:rPr>
          <w:rFonts w:ascii="arial" w:hAnsi="arial" w:eastAsia="arial" w:cs="arial"/>
          <w:sz w:val="28"/>
          <w:szCs w:val="28"/>
          <w:b w:val="1"/>
          <w:bCs w:val="1"/>
          <w:rtl/>
        </w:rPr>
        <w:t xml:space="preserve">عبد الله بن عبد الرحمن بن عبد الله بن عبد الرحمن
</w:t>
      </w:r>
    </w:p>
    <w:p>
      <w:pPr/>
      <w:r>
        <w:rPr/>
        <w:t xml:space="preserve">عبد الله بن عبد الرحمن بن عبد الله بن عبد الرحمن </w:t>
      </w:r>
    </w:p>
    <w:p/>
    <w:p>
      <w:pPr/>
      <w:r>
        <w:rPr/>
        <w:t xml:space="preserve">هو الكاتب أبو محمد ابن الكاتب، مشهور الطلب والحسب. من أهل البيوتات الشريفة. قديم الحسب، شريف الأصل. وسيأتي في هذا الكتاب من ذكر سلفه ما يدلّ على جلالته. وكان أبو محمد هذا جليل المقدار، عالي الهمة، مشكور المكانة.</w:t>
      </w:r>
    </w:p>
    <w:p/>
    <w:p>
      <w:pPr/>
      <w:r>
        <w:rPr/>
        <w:t xml:space="preserve">كتب لأمير المؤمنين أبي يعقوب، ثم لابنه المنصور. وكان معظما عندهم، ونال لديهم (الجاه). وكان رحمه الله أديبا شاعرا بليغا وكاتبا مطبوعا. وشهرة مكانته تغني عن الإطالة في ذكره.</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2026-07-28T13:01:51+03:00</dcterms:created>
  <dcterms:modified xsi:type="dcterms:W3CDTF">2026-07-28T13:01:51+03:00</dcterms:modified>
</cp:coreProperties>
</file>

<file path=docProps/custom.xml><?xml version="1.0" encoding="utf-8"?>
<Properties xmlns="http://schemas.openxmlformats.org/officeDocument/2006/custom-properties" xmlns:vt="http://schemas.openxmlformats.org/officeDocument/2006/docPropsVTypes"/>
</file>