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خالد بن يزيد البرذعي.
</w:t>
      </w:r>
    </w:p>
    <w:p>
      <w:pPr>
        <w:jc w:val="start"/>
        <w:bidi/>
      </w:pPr>
      <w:r>
        <w:rPr>
          <w:rFonts w:ascii="arial" w:hAnsi="arial" w:eastAsia="arial" w:cs="arial"/>
          <w:sz w:val="28"/>
          <w:szCs w:val="28"/>
          <w:b w:val="1"/>
          <w:bCs w:val="1"/>
          <w:rtl/>
        </w:rPr>
        <w:t xml:space="preserve">محمد بن خالد بن يزيد البرذعي.
</w:t>
      </w:r>
    </w:p>
    <w:p>
      <w:pPr/>
      <w:r>
        <w:rPr/>
        <w:t xml:space="preserve">محمد بن خالد بن يزيد البرذعي. </w:t>
      </w:r>
    </w:p>
    <w:p/>
    <w:p>
      <w:pPr/>
      <w:r>
        <w:rPr/>
        <w:t xml:space="preserve">قال مسلمة: خراساني سكن مكة، يكنى أبا جعفر، وكان شيخاً ثقة كثير</w:t>
      </w:r>
    </w:p>
    <w:p/>
    <w:p>
      <w:pPr/>
      <w:r>
        <w:rPr/>
        <w:t xml:space="preserve">الرواية، وكان ينكر عليه حديثٌ رواه وانفرد به، سألت العقيلي عنه فقال: شيخ صدوق لا بأس به إن شاء الله، قتل في معترك القرمطي بالمسجد الحرام ووقفت فرأيته مقتولاً عند صندوقه وفي كمه كتاب، وذلك لسبع مضين من ذي الحجة سنة سبع عشرة وثلاثمائة.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2026-07-28T14:55:56+03:00</dcterms:created>
  <dcterms:modified xsi:type="dcterms:W3CDTF">2026-07-28T14:55:56+03:00</dcterms:modified>
</cp:coreProperties>
</file>

<file path=docProps/custom.xml><?xml version="1.0" encoding="utf-8"?>
<Properties xmlns="http://schemas.openxmlformats.org/officeDocument/2006/custom-properties" xmlns:vt="http://schemas.openxmlformats.org/officeDocument/2006/docPropsVTypes"/>
</file>