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صفوان، مولى قيس بن ثعلبة.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صفوان، مولى قيس بن ثعلبة.
</w:t>
      </w:r>
    </w:p>
    <w:p>
      <w:pPr/>
      <w:r>
        <w:rPr/>
        <w:t xml:space="preserve">القاسم بن صفوان، مولى قيس بن ثعلبة. </w:t>
      </w:r>
    </w:p>
    <w:p/>
    <w:p>
      <w:pPr/>
      <w:r>
        <w:rPr/>
        <w:t xml:space="preserve">غلط، إنما هو ابن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صفوان مولى بني قيس بن ثعلبة
</w:t>
      </w:r>
    </w:p>
    <w:p>
      <w:pPr/>
      <w:r>
        <w:rPr/>
        <w:t xml:space="preserve">القاسم بن صفوان مولى بني قيس بن ثعلبة </w:t>
      </w:r>
    </w:p>
    <w:p/>
    <w:p>
      <w:pPr/>
      <w:r>
        <w:rPr/>
        <w:t xml:space="preserve">يروي عن أبي رافع عن أبي هريرة روى عنه شعبة وإسماعيل بن عياش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2026-07-29T07:26:39+03:00</dcterms:created>
  <dcterms:modified xsi:type="dcterms:W3CDTF">2026-07-29T07:26:39+03:00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