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عبد الله بن زاذان القزويني.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عبد الله بن زاذان القزويني.
</w:t>
      </w:r>
    </w:p>
    <w:p>
      <w:pPr/>
      <w:r>
        <w:rPr/>
        <w:t xml:space="preserve">عمر بن عبد الله بن زاذان القزويني. </w:t>
      </w:r>
    </w:p>
    <w:p/>
    <w:p>
      <w:pPr/>
      <w:r>
        <w:rPr/>
        <w:t xml:space="preserve">سمع: إسحاق، وأبا موسى، وبالري: ابن أبي حاتم، وابن قازن، وبأذربيجان: أحمد بن طاهر بن النجم، وجماعة غيرهم.</w:t>
      </w:r>
    </w:p>
    <w:p/>
    <w:p>
      <w:pPr/>
      <w:r>
        <w:rPr/>
        <w:t xml:space="preserve">قال الخليلي: وكان ثقة في حديثه، مات سنة خمس وثمانين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2026-07-29T04:14:29+03:00</dcterms:created>
  <dcterms:modified xsi:type="dcterms:W3CDTF">2026-07-29T04:14:29+03:00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