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النيسابوري
</w:t>
      </w:r>
    </w:p>
    <w:p>
      <w:pPr/>
      <w:r>
        <w:rPr/>
        <w:t xml:space="preserve">أحمد بن علي النيسابوري أورد له ابن شهراشوب في المناقب قوله: </w:t>
      </w:r>
    </w:p>
    <w:p/>
    <w:p>
      <w:pPr>
        <w:jc w:val="center"/>
      </w:pPr>
      <w:r>
        <w:rPr>
          <w:color w:val="ff0000"/>
        </w:rPr>
        <w:t xml:space="preserve">حسبي بمرضاة ربي نعمة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أنال من جنة الفردوس آمالي </w:t>
      </w:r>
    </w:p>
    <w:p/>
    <w:p>
      <w:pPr>
        <w:jc w:val="center"/>
      </w:pPr>
      <w:r>
        <w:rPr>
          <w:color w:val="ff0000"/>
        </w:rPr>
        <w:t xml:space="preserve">وبعدها حب آل المصطفى فبه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القيامة حالي جيدها حالي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2026-07-29T06:13:39+03:00</dcterms:created>
  <dcterms:modified xsi:type="dcterms:W3CDTF">2026-07-29T06:13:39+03:00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