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عمرو الحارثي الهمداني.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عمرو الحارثي الهمداني.
</w:t>
      </w:r>
    </w:p>
    <w:p>
      <w:pPr/>
      <w:r>
        <w:rPr/>
        <w:t xml:space="preserve">عبيد الله بن عمرو الحارثي الهمداني. </w:t>
      </w:r>
    </w:p>
    <w:p/>
    <w:p>
      <w:pPr/>
      <w:r>
        <w:rPr/>
        <w:t xml:space="preserve">يروي عن علي وعبد الله. روى عنه أهل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عمرو الحارثي الهمداني
</w:t>
      </w:r>
    </w:p>
    <w:p>
      <w:pPr/>
      <w:r>
        <w:rPr/>
        <w:t xml:space="preserve">عبيد الله بن عمرو الحارثي الهمداني </w:t>
      </w:r>
    </w:p>
    <w:p/>
    <w:p>
      <w:pPr/>
      <w:r>
        <w:rPr/>
        <w:t xml:space="preserve">يروي عن علي وعبد الله روى عنه أهل الكوفة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2026-07-29T07:26:07+03:00</dcterms:created>
  <dcterms:modified xsi:type="dcterms:W3CDTF">2026-07-29T07:26:07+03:00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