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بن عبد الرحمن، أبو محمد الحافظ الحراني.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بن عبد الرحمن، أبو محمد الحافظ الحراني.
</w:t>
      </w:r>
    </w:p>
    <w:p>
      <w:pPr/>
      <w:r>
        <w:rPr/>
        <w:t xml:space="preserve">عبد القادر بن عبد الرحمن، أبو محمد الحافظ الحراني. </w:t>
      </w:r>
    </w:p>
    <w:p/>
    <w:p>
      <w:pPr/>
      <w:r>
        <w:rPr/>
        <w:t xml:space="preserve">سمع الكثير في الأقطار، واشتغل بدار الحديث بالموصل، ثم انتقل إلى حران، وتوفي بها سنة اثنتي عشرة وستمائة، وكان مولده سنة ست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2026-07-29T00:18:08+03:00</dcterms:created>
  <dcterms:modified xsi:type="dcterms:W3CDTF">2026-07-29T00:18:08+03:00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