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ثعلبة بن عمرو
</w:t>
      </w:r>
    </w:p>
    <w:p>
      <w:pPr>
        <w:jc w:val="start"/>
        <w:bidi/>
      </w:pPr>
      <w:r>
        <w:rPr>
          <w:rFonts w:ascii="arial" w:hAnsi="arial" w:eastAsia="arial" w:cs="arial"/>
          <w:sz w:val="28"/>
          <w:szCs w:val="28"/>
          <w:b w:val="1"/>
          <w:bCs w:val="1"/>
          <w:rtl/>
        </w:rPr>
        <w:t xml:space="preserve">ثعلبة بن عمرو
</w:t>
      </w:r>
    </w:p>
    <w:p>
      <w:pPr/>
      <w:r>
        <w:rPr/>
        <w:t xml:space="preserve">ثعلبة بن عمرو  ثعلبة بن عمرو بن جفنة الغساني: أول من لقب بالملك من الأمراء الغسانيين أصحاب بادية الشام. كان مواليا لقياصرة الروم، واستعان به معاصروه منهم على رد غارات الفرس من جهة الحيرة، واستمر ملكه نحو عشرين سنة. من آثاره التي عاشت طويلا (صرح الغدير) بناه في أطراف حوران مما يلي البلقاء. ويرجح أنه عاش في القرن الثالث للميلاد. والعرب يسمون معاصره من ملوك الروم (ديقيوس)</w:t>
      </w:r>
    </w:p>
    <w:p>
      <w:pPr>
        <w:jc w:val="start"/>
        <w:bidi/>
      </w:pPr>
      <w:r>
        <w:rPr>
          <w:sz w:val="24"/>
          <w:szCs w:val="24"/>
          <w:b w:val="1"/>
          <w:bCs w:val="1"/>
          <w:rtl/>
        </w:rPr>
        <w:t xml:space="preserve">
الأعلام،(دار العلم للملايين - بيروت،2002،ط 15،ج 2،ص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2026-09-21T13:26:36+03:00</dcterms:created>
  <dcterms:modified xsi:type="dcterms:W3CDTF">2026-09-21T13:26:36+03:00</dcterms:modified>
</cp:coreProperties>
</file>

<file path=docProps/custom.xml><?xml version="1.0" encoding="utf-8"?>
<Properties xmlns="http://schemas.openxmlformats.org/officeDocument/2006/custom-properties" xmlns:vt="http://schemas.openxmlformats.org/officeDocument/2006/docPropsVTypes"/>
</file>