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رضوان بن الحسن، أبو القاسم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رضوان بن الحسن، أبو القاسم الفقيه.
</w:t>
      </w:r>
    </w:p>
    <w:p>
      <w:pPr/>
      <w:r>
        <w:rPr/>
        <w:t xml:space="preserve">رضوان بن الحسن، أبو القاسم الفقيه. </w:t>
      </w:r>
    </w:p>
    <w:p/>
    <w:p>
      <w:pPr/>
      <w:r>
        <w:rPr/>
        <w:t xml:space="preserve">سمع وحدث.</w:t>
      </w:r>
    </w:p>
    <w:p/>
    <w:p>
      <w:pPr/>
      <w:r>
        <w:rPr/>
        <w:t xml:space="preserve">قال ابن النجار: قرأت على أبي محمد بن إسحاق العبدي، عن أبي مسعود عبد الجليل بن عبد الحافظ، قال: كتب إلي أبو القاسم هبة الله بن عبد الوارث الشيرازي، قال: رضوان بن الحسن بن إسماعيل بن يعقوب أبو القاسم الفقيه، أصله من شيراز، وولد بالأهواز، كان أوحد وقته، جمع بين العلم والعمل والزهد.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2026-07-29T07:26:08+03:00</dcterms:created>
  <dcterms:modified xsi:type="dcterms:W3CDTF">2026-07-29T07:26:08+03:00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