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رزق، أبو القاسم الأموي المقرئ.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رزق، أبو القاسم الأموي المقرئ.
</w:t>
      </w:r>
    </w:p>
    <w:p>
      <w:pPr/>
      <w:r>
        <w:rPr/>
        <w:t xml:space="preserve">خلف بن رزق، أبو القاسم الأموي المقرئ. </w:t>
      </w:r>
    </w:p>
    <w:p/>
    <w:p>
      <w:pPr/>
      <w:r>
        <w:rPr/>
        <w:t xml:space="preserve">أثنى عليه ابن بشكوال.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رزق الأسدي أبو القاسم
</w:t>
      </w:r>
    </w:p>
    <w:p>
      <w:pPr/>
      <w:r>
        <w:rPr/>
        <w:t xml:space="preserve">خلف بن رزق الأسدي أبو القاسم </w:t>
      </w:r>
    </w:p>
    <w:p/>
    <w:p>
      <w:pPr/>
      <w:r>
        <w:rPr/>
        <w:t xml:space="preserve">إمام الفريضة بجامع قرطبة مقرئ مجود توفى سنة خمس وثمانين وأربعمائة، وكان مولده عام سبع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2026-07-29T07:26:40+03:00</dcterms:created>
  <dcterms:modified xsi:type="dcterms:W3CDTF">2026-07-29T07:26:40+03:00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