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أحمد بن إدريس بن محمد بن جعفر
</w:t>
      </w:r>
    </w:p>
    <w:p>
      <w:pPr>
        <w:jc w:val="start"/>
        <w:bidi/>
      </w:pPr>
      <w:r>
        <w:rPr>
          <w:rFonts w:ascii="arial" w:hAnsi="arial" w:eastAsia="arial" w:cs="arial"/>
          <w:sz w:val="28"/>
          <w:szCs w:val="28"/>
          <w:b w:val="1"/>
          <w:bCs w:val="1"/>
          <w:rtl/>
        </w:rPr>
        <w:t xml:space="preserve">الشريف أحمد بن إدريس بن محمد بن جعفر
</w:t>
      </w:r>
    </w:p>
    <w:p>
      <w:pPr/>
      <w:r>
        <w:rPr/>
        <w:t xml:space="preserve">الشريف أحمد بن إدريس بن محمد بن جعفر ابن إبراهيم الجعفري</w:t>
      </w:r>
    </w:p>
    <w:p/>
    <w:p>
      <w:pPr/>
      <w:r>
        <w:rPr/>
        <w:t xml:space="preserve">في مقاتل الطالبيين بعدما ذكر أن داود بن أحمد قتله الجعفريون بالمضيق في حرب كانت بينهم وبين العلويين قال وقتل في هذه الأيام علي وأحمد ابنا إدريس بن محمد ابن جعفر بن إبراهيم الجعفري (أه). </w:t>
      </w:r>
    </w:p>
    <w:p>
      <w:pPr>
        <w:jc w:val="start"/>
        <w:bidi/>
      </w:pPr>
      <w:r>
        <w:rPr>
          <w:sz w:val="24"/>
          <w:szCs w:val="24"/>
          <w:b w:val="1"/>
          <w:bCs w:val="1"/>
          <w:rtl/>
        </w:rPr>
        <w:t xml:space="preserve">
أعيان الشيعة،(دار التعارف للمطبوعات - بيروت،1983،ط 1،ج 2،ص 478)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2026-07-28T11:02:25+03:00</dcterms:created>
  <dcterms:modified xsi:type="dcterms:W3CDTF">2026-07-28T11:02:25+03:00</dcterms:modified>
</cp:coreProperties>
</file>

<file path=docProps/custom.xml><?xml version="1.0" encoding="utf-8"?>
<Properties xmlns="http://schemas.openxmlformats.org/officeDocument/2006/custom-properties" xmlns:vt="http://schemas.openxmlformats.org/officeDocument/2006/docPropsVTypes"/>
</file>