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توفيق أبو الهدى
</w:t>
      </w:r>
    </w:p>
    <w:p>
      <w:pPr>
        <w:jc w:val="start"/>
        <w:bidi/>
      </w:pPr>
      <w:r>
        <w:rPr>
          <w:rFonts w:ascii="arial" w:hAnsi="arial" w:eastAsia="arial" w:cs="arial"/>
          <w:sz w:val="28"/>
          <w:szCs w:val="28"/>
          <w:b w:val="1"/>
          <w:bCs w:val="1"/>
          <w:rtl/>
        </w:rPr>
        <w:t xml:space="preserve">توفيق أبو الهدى
</w:t>
      </w:r>
    </w:p>
    <w:p>
      <w:pPr/>
      <w:r>
        <w:rPr/>
        <w:t xml:space="preserve">توفيق أبو الهدى  توفيق أبو الهدى: سياسي، مات منتحرا. له (مذكرات يومية - خ) ولد في عكا (بفلسطين) وتعلم باستامبول. وسكن (شرقي الأردن) في بدء إمارتها. وتولى رئاسة الوزارة فيها أكثر من 12 مرة. واتهم بموالاة السياسة البريطانية، فحاول بعض الأردنيين اغتياله. ومرض بسرطان المعدة، فوضع في رقبته حبلا، وشنق نفسه في بيته على رابية بعمان. وفي أيامه تحولت إمارة الأردن إلى مملكة، فكان من رجال أميرها (ثم ملكها) عبدالله بن الحسين، وابنه الملك طلال، وحفيده الملك حسين. </w:t>
      </w:r>
    </w:p>
    <w:p>
      <w:pPr>
        <w:jc w:val="start"/>
        <w:bidi/>
      </w:pPr>
      <w:r>
        <w:rPr>
          <w:sz w:val="24"/>
          <w:szCs w:val="24"/>
          <w:b w:val="1"/>
          <w:bCs w:val="1"/>
          <w:rtl/>
        </w:rPr>
        <w:t xml:space="preserve">
الأعلام،(دار العلم للملايين - بيروت،2002،ط 15،ج 2،ص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2026-09-21T12:39:52+03:00</dcterms:created>
  <dcterms:modified xsi:type="dcterms:W3CDTF">2026-09-21T12:39:52+03:00</dcterms:modified>
</cp:coreProperties>
</file>

<file path=docProps/custom.xml><?xml version="1.0" encoding="utf-8"?>
<Properties xmlns="http://schemas.openxmlformats.org/officeDocument/2006/custom-properties" xmlns:vt="http://schemas.openxmlformats.org/officeDocument/2006/docPropsVTypes"/>
</file>