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الفكيكي
</w:t>
      </w:r>
    </w:p>
    <w:p>
      <w:pPr>
        <w:jc w:val="start"/>
        <w:bidi/>
      </w:pPr>
      <w:r>
        <w:rPr>
          <w:rFonts w:ascii="arial" w:hAnsi="arial" w:eastAsia="arial" w:cs="arial"/>
          <w:sz w:val="28"/>
          <w:szCs w:val="28"/>
          <w:b w:val="1"/>
          <w:bCs w:val="1"/>
          <w:rtl/>
        </w:rPr>
        <w:t xml:space="preserve">الفكيكي
</w:t>
      </w:r>
    </w:p>
    <w:p>
      <w:pPr/>
      <w:r>
        <w:rPr/>
        <w:t xml:space="preserve">الفكيكي  توفيق بن علي بن ناصر، أبو أديب الفيكيكي: محام باحث بغدادي، من قبيلة (الفجيجات) في لوا العمارة، ينتهي نسبه إلى شيبان بن بكر بن وائل. ولد في جانب الكرخ (ببغداد) وتخرج بدار المعلمين ثم بالحقوق، وقرأ الأصول والأدب، ومارس المحاماة. وصنف كتبا، طبع منها (الراعي والرعية) جزآن، و (أدب الفتوة أو الدعاية العسكرية عند العرب) و (أقرب الوسائل لنشر الحضارة الصحيحة في العراق) و (الحجاب والسفور) و (حماية الحيوان في شريعة القرآن) و (المعاهدات في الإسلام) و (النخيل: شعر ونثر) و (المتعة وأثرها في الإصلاح الاجتماعي) و (سكينة بنت الحسين) و (الإمام جعفر الصادق) وكتب أخرى. وما زلت له كتب مخطوطة في انتظار نشرها. وعمل في الصحافة، فأصدر جريدة النظام (1927) وعطلتها حكومة الانتداب سريعا، وجريدة الرعد (1948) ولم تلبث أن عطلت. وأقيم له حفل كبير بعد وفاته، جمع عبد الله الجبوري ما قيل فيه، في كتاب (توفيق الفكيكي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2026-09-21T12:35:26+03:00</dcterms:created>
  <dcterms:modified xsi:type="dcterms:W3CDTF">2026-09-21T12:35:26+03:00</dcterms:modified>
</cp:coreProperties>
</file>

<file path=docProps/custom.xml><?xml version="1.0" encoding="utf-8"?>
<Properties xmlns="http://schemas.openxmlformats.org/officeDocument/2006/custom-properties" xmlns:vt="http://schemas.openxmlformats.org/officeDocument/2006/docPropsVTypes"/>
</file>