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ابن جلاب الكرخي البغدادي
</w:t>
      </w:r>
    </w:p>
    <w:p>
      <w:pPr>
        <w:jc w:val="start"/>
        <w:bidi/>
      </w:pPr>
      <w:r>
        <w:rPr>
          <w:rFonts w:ascii="arial" w:hAnsi="arial" w:eastAsia="arial" w:cs="arial"/>
          <w:sz w:val="28"/>
          <w:szCs w:val="28"/>
          <w:b w:val="1"/>
          <w:bCs w:val="1"/>
          <w:rtl/>
        </w:rPr>
        <w:t xml:space="preserve">الشيخ أبو عبد الله ابن جلاب الكرخي البغدادي
</w:t>
      </w:r>
    </w:p>
    <w:p>
      <w:pPr/>
      <w:r>
        <w:rPr/>
        <w:t xml:space="preserve">الشيخ أبو عبد الله ابن جلاب الكرخي البغدادي قتل سنة 449 في بغداد. </w:t>
      </w:r>
    </w:p>
    <w:p/>
    <w:p>
      <w:pPr/>
      <w:r>
        <w:rPr/>
        <w:t xml:space="preserve">في كتاب أحسن القصص ودافع الغصص لأحمد ابن نصر الله الدبيلي السندي كما في نسخة مخطوطة في الخزانة الرضوية أنه في السنة المذكورة بعد استيلاء السلطان طغرل السلجوقي على بغداد والقبض على الملك الرحيم آخر ملوك آل بويه كان رئيس الرؤساء متعصبا فآذى أهل الكرخ أذى كثيرا وقتل أبو عبد الله ابن جلاب من كبراء علماء الشيعة في محلة الكرخ (أه). </w:t>
      </w:r>
    </w:p>
    <w:p>
      <w:pPr>
        <w:jc w:val="start"/>
        <w:bidi/>
      </w:pPr>
      <w:r>
        <w:rPr>
          <w:sz w:val="24"/>
          <w:szCs w:val="24"/>
          <w:b w:val="1"/>
          <w:bCs w:val="1"/>
          <w:rtl/>
        </w:rPr>
        <w:t xml:space="preserve">
أعيان الشيعة،(دار التعارف للمطبوعات - بيروت،1983،ط 1،ج 2،ص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2026-07-28T15:17:49+03:00</dcterms:created>
  <dcterms:modified xsi:type="dcterms:W3CDTF">2026-07-28T15:17:49+03:00</dcterms:modified>
</cp:coreProperties>
</file>

<file path=docProps/custom.xml><?xml version="1.0" encoding="utf-8"?>
<Properties xmlns="http://schemas.openxmlformats.org/officeDocument/2006/custom-properties" xmlns:vt="http://schemas.openxmlformats.org/officeDocument/2006/docPropsVTypes"/>
</file>