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سلام بن عبدويه، أبو بكر البغدادي.
</w:t>
      </w:r>
    </w:p>
    <w:p>
      <w:pPr>
        <w:jc w:val="start"/>
        <w:bidi/>
      </w:pPr>
      <w:r>
        <w:rPr>
          <w:rFonts w:ascii="arial" w:hAnsi="arial" w:eastAsia="arial" w:cs="arial"/>
          <w:sz w:val="28"/>
          <w:szCs w:val="28"/>
          <w:b w:val="1"/>
          <w:bCs w:val="1"/>
          <w:rtl/>
        </w:rPr>
        <w:t xml:space="preserve">أحمد بن محمد بن سلام بن عبدويه، أبو بكر البغدادي.
</w:t>
      </w:r>
    </w:p>
    <w:p>
      <w:pPr/>
      <w:r>
        <w:rPr/>
        <w:t xml:space="preserve">أحمد بن محمد بن سلام بن عبدويه، أبو بكر البغدادي. </w:t>
      </w:r>
    </w:p>
    <w:p/>
    <w:p>
      <w:pPr/>
      <w:r>
        <w:rPr/>
        <w:t xml:space="preserve">نزيل مصر، حدث عن عبد الأعلى بن حماد النرسي، وأبي معمر الهذلي، وداود بن رشيد، ومحمد بن بكار بن الريان، والحسن بن عيسى الماسرجسي، ومحمد بن سليمان لوين، وسوار بن عبد الله العنبري، وزهير بن محمد بن قمير.</w:t>
      </w:r>
    </w:p>
    <w:p/>
    <w:p>
      <w:pPr/>
      <w:r>
        <w:rPr/>
        <w:t xml:space="preserve">روى عنه: أبو جعفر الطحاوي، ومحمد بن القاسم الصوفي المعروف بوليد، والحسن بن الخضر السيوطي، وابن يونس، وقال في كتاب «الغرباء» كان فاضلاً، من خيار خلق الله، توفي بمصر سنة اثنتين وثلاثمائة، عمي قبل وفاته بيسير.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2026-07-28T03:54:44+03:00</dcterms:created>
  <dcterms:modified xsi:type="dcterms:W3CDTF">2026-07-28T03:54:44+03:00</dcterms:modified>
</cp:coreProperties>
</file>

<file path=docProps/custom.xml><?xml version="1.0" encoding="utf-8"?>
<Properties xmlns="http://schemas.openxmlformats.org/officeDocument/2006/custom-properties" xmlns:vt="http://schemas.openxmlformats.org/officeDocument/2006/docPropsVTypes"/>
</file>