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قاسم بن عيسى، أبو العباس المقرئ.
</w:t>
      </w:r>
    </w:p>
    <w:p>
      <w:pPr>
        <w:jc w:val="start"/>
        <w:bidi/>
      </w:pPr>
      <w:r>
        <w:rPr>
          <w:rFonts w:ascii="arial" w:hAnsi="arial" w:eastAsia="arial" w:cs="arial"/>
          <w:sz w:val="28"/>
          <w:szCs w:val="28"/>
          <w:b w:val="1"/>
          <w:bCs w:val="1"/>
          <w:rtl/>
        </w:rPr>
        <w:t xml:space="preserve">أحمد بن قاسم بن عيسى، أبو العباس المقرئ.
</w:t>
      </w:r>
    </w:p>
    <w:p>
      <w:pPr/>
      <w:r>
        <w:rPr/>
        <w:t xml:space="preserve">أحمد بن قاسم بن عيسى، أبو العباس المقرئ. </w:t>
      </w:r>
    </w:p>
    <w:p/>
    <w:p>
      <w:pPr/>
      <w:r>
        <w:rPr/>
        <w:t xml:space="preserve">روى عنه ابن عبد البر والخولاني وقال: كان رجلاً صالحاً فاضلاً مجوداً للقرآن وأثنى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عيسى أبو العباس المقرئ
</w:t>
      </w:r>
    </w:p>
    <w:p>
      <w:pPr/>
      <w:r>
        <w:rPr/>
        <w:t xml:space="preserve">أحمد بن قاسم بن عيسى أبو العباس المقرئ </w:t>
      </w:r>
    </w:p>
    <w:p/>
    <w:p>
      <w:pPr/>
      <w:r>
        <w:rPr/>
        <w:t xml:space="preserve">قال أبو محمد علي بن أحمد: هو المعروف بأبي العباس الإقليشي منسوب إلى إقليش بلدة من أعمال طليطلة، كان يختلف معنا إلى ابن الجسور، وله رحلة دخل فيها إلى بغداد وغيرها، وهو ثقة فاضل، قال أبو عمر بن عبد البر: وقد سمع من أبي القاسم عبيد الله بن محمد بن حبابة حديث على بن الجعد، وسمعناه منه وكتبت عنه ’’منثوراً’’ كثيراً وكتب عني رحمه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2026-07-29T13:06:30+03:00</dcterms:created>
  <dcterms:modified xsi:type="dcterms:W3CDTF">2026-07-29T13:06:30+03:00</dcterms:modified>
</cp:coreProperties>
</file>

<file path=docProps/custom.xml><?xml version="1.0" encoding="utf-8"?>
<Properties xmlns="http://schemas.openxmlformats.org/officeDocument/2006/custom-properties" xmlns:vt="http://schemas.openxmlformats.org/officeDocument/2006/docPropsVTypes"/>
</file>