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إسحاق بن يوسف، أبو بكر الرقي.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إسحاق بن يوسف، أبو بكر الرقي.
</w:t>
      </w:r>
    </w:p>
    <w:p>
      <w:pPr/>
      <w:r>
        <w:rPr/>
        <w:t xml:space="preserve">أحمد بن إسحاق بن يوسف، أبو بكر الرقي. </w:t>
      </w:r>
    </w:p>
    <w:p/>
    <w:p>
      <w:pPr/>
      <w:r>
        <w:rPr/>
        <w:t xml:space="preserve">حدث عن الهيثم بن جميل وغيره.</w:t>
      </w:r>
    </w:p>
    <w:p/>
    <w:p>
      <w:pPr/>
      <w:r>
        <w:rPr/>
        <w:t xml:space="preserve">قال الخطيب: حدث عنه يحيى بن صاعد، ومحمد بن مخلد الدوري، وكان حسن الحديث.</w:t>
      </w:r>
    </w:p>
    <w:p/>
    <w:p>
      <w:pPr/>
      <w:r>
        <w:rPr/>
        <w:t xml:space="preserve">مات سنة (262هـ).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2026-07-29T03:21:26+03:00</dcterms:created>
  <dcterms:modified xsi:type="dcterms:W3CDTF">2026-07-29T03:21:26+03:00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