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منصور ابن عم السيد رضي الدين
</w:t>
      </w:r>
    </w:p>
    <w:p>
      <w:pPr>
        <w:jc w:val="start"/>
        <w:bidi/>
      </w:pPr>
      <w:r>
        <w:rPr>
          <w:rFonts w:ascii="arial" w:hAnsi="arial" w:eastAsia="arial" w:cs="arial"/>
          <w:sz w:val="28"/>
          <w:szCs w:val="28"/>
          <w:b w:val="1"/>
          <w:bCs w:val="1"/>
          <w:rtl/>
        </w:rPr>
        <w:t xml:space="preserve">السيد أبو منصور ابن عم السيد رضي الدين
</w:t>
      </w:r>
    </w:p>
    <w:p>
      <w:pPr/>
      <w:r>
        <w:rPr/>
        <w:t xml:space="preserve">السيد أبو منصور ابن عم السيد رضي الدين علي ابن طاوس الحسني </w:t>
      </w:r>
    </w:p>
    <w:p/>
    <w:p>
      <w:pPr/>
      <w:r>
        <w:rPr/>
        <w:t xml:space="preserve">في الرياض: كان من العلماء ويحكي عنه السيد رضي الدين المذكور ورأيت بخط رضي الدين فيما ألحقه بكتابه الفتن والملاحم بهذه العبارة أحضر الولد أبو منصور ابن عمي رقعة وذكر أنها بخط الفقيه أحمد الموصلي إلخ. ولا يخفى أن إطلاق لفظ الولد عليه من باب الشفقة والمحبة لصغر سنه بالنسبة إليه. </w:t>
      </w:r>
    </w:p>
    <w:p/>
    <w:p>
      <w:pPr/>
      <w:r>
        <w:rPr/>
        <w:t xml:space="preserve">(تتمة)</w:t>
      </w:r>
    </w:p>
    <w:p/>
    <w:p>
      <w:pPr/>
      <w:r>
        <w:rPr/>
        <w:t xml:space="preserve">في مشتركات الكاظمي: ومنهم أبو منصور ولم يذكره شيخنا مشترك بين الفديراني (ق) وبين الزيادي، له كتاب الحجج وبين الصرام المتكلم النيشابوري كان رئيسا مقدما. قال النجاشي وذكره كلامه السابق.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2026-07-29T00:54:02+03:00</dcterms:created>
  <dcterms:modified xsi:type="dcterms:W3CDTF">2026-07-29T00:54:02+03:00</dcterms:modified>
</cp:coreProperties>
</file>

<file path=docProps/custom.xml><?xml version="1.0" encoding="utf-8"?>
<Properties xmlns="http://schemas.openxmlformats.org/officeDocument/2006/custom-properties" xmlns:vt="http://schemas.openxmlformats.org/officeDocument/2006/docPropsVTypes"/>
</file>