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تغلب
</w:t>
      </w:r>
    </w:p>
    <w:p>
      <w:pPr>
        <w:jc w:val="start"/>
        <w:bidi/>
      </w:pPr>
      <w:r>
        <w:rPr>
          <w:rFonts w:ascii="arial" w:hAnsi="arial" w:eastAsia="arial" w:cs="arial"/>
          <w:sz w:val="28"/>
          <w:szCs w:val="28"/>
          <w:b w:val="1"/>
          <w:bCs w:val="1"/>
          <w:rtl/>
        </w:rPr>
        <w:t xml:space="preserve">تغلب
</w:t>
      </w:r>
    </w:p>
    <w:p>
      <w:pPr/>
      <w:r>
        <w:rPr/>
        <w:t xml:space="preserve">تغلب  تغلب بن وائل بن قاسط، من بني ربيعة، من عدنان: جد جاهلي، النسبة إليه (تغلبي) بفتح اللام، عند صاحبي القاموس والصحاح؛ ويجوز الكسر، واقتصر عليه صاحب اللباب. كانت منازل بنيه قبل الإسلام في الجزيرة الفراتية بجهات سنجار ونصيبين، وتعرف ديارهم هذه بديار ربيعة. أخبارهم في الجاهلية والإسلام كثيرة. وهم قبائل وبطون. منهم (الأراقم) رهط عمرو ابن كلثوم، وينو (غنم) وبنو (عقامة) وبنو (حمدان) الحمدانيون، وبنو (فرسلن) وآخرون. ويقال: من بقاياهم اليوم (الدواسر) ولابن السائب الكلبي كتاب (أخبار بني تغلب وأيامهم وأنسابهم)</w:t>
      </w:r>
    </w:p>
    <w:p>
      <w:pPr>
        <w:jc w:val="start"/>
        <w:bidi/>
      </w:pPr>
      <w:r>
        <w:rPr>
          <w:sz w:val="24"/>
          <w:szCs w:val="24"/>
          <w:b w:val="1"/>
          <w:bCs w:val="1"/>
          <w:rtl/>
        </w:rPr>
        <w:t xml:space="preserve">
الأعلام،(دار العلم للملايين - بيروت،2002،ط 15،ج 2،ص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2026-09-21T11:22:50+03:00</dcterms:created>
  <dcterms:modified xsi:type="dcterms:W3CDTF">2026-09-21T11:22:50+03:00</dcterms:modified>
</cp:coreProperties>
</file>

<file path=docProps/custom.xml><?xml version="1.0" encoding="utf-8"?>
<Properties xmlns="http://schemas.openxmlformats.org/officeDocument/2006/custom-properties" xmlns:vt="http://schemas.openxmlformats.org/officeDocument/2006/docPropsVTypes"/>
</file>