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عمرو بن أبي أحمد بن جحش،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عمرو بن أبي أحمد بن جحش، القرشي 
</w:t>
      </w:r>
    </w:p>
    <w:p>
      <w:pPr/>
      <w:r>
        <w:rPr/>
        <w:t xml:space="preserve">عاصم بن عمرو بن أبي أحمد بن جحش، القرشي. </w:t>
      </w:r>
    </w:p>
    <w:p/>
    <w:p>
      <w:pPr/>
      <w:r>
        <w:rPr/>
        <w:t xml:space="preserve">روى بكير بن الأشج، عن محمد بن وهب.</w:t>
      </w:r>
    </w:p>
    <w:p/>
    <w:p>
      <w:pPr/>
      <w:r>
        <w:rPr/>
        <w:t xml:space="preserve">يعد في أهل الحجاز.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عمرو بن أبي أحمد بن جحش القرشي.
</w:t>
      </w:r>
    </w:p>
    <w:p>
      <w:pPr/>
      <w:r>
        <w:rPr/>
        <w:t xml:space="preserve">عاصم بن عمرو بن أبي أحمد بن جحش القرشي. </w:t>
      </w:r>
    </w:p>
    <w:p/>
    <w:p>
      <w:pPr/>
      <w:r>
        <w:rPr/>
        <w:t xml:space="preserve">يروي عن الحجازيين. روى عنه بكير بن الأشج.</w:t>
      </w:r>
    </w:p>
    <w:p/>
    <w:p>
      <w:pPr/>
      <w:r>
        <w:rPr/>
        <w:t xml:space="preserve">كذا فيه، والذي في «تاريخ البخاري»: روى بكير عن محمد بن وهب عنه. وقال أبو زرعة الرازي: إنما هذا عاصم بن عمر بن الخطاب.</w:t>
      </w:r>
    </w:p>
    <w:p/>
    <w:p>
      <w:pPr/>
      <w:r>
        <w:rPr/>
        <w:t xml:space="preserve">قلت: وعاصم بن عمر في «التهذيب».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عمرو بن أبي أحمد بن جحش القرشي
</w:t>
      </w:r>
    </w:p>
    <w:p>
      <w:pPr/>
      <w:r>
        <w:rPr/>
        <w:t xml:space="preserve">عاصم بن عمرو بن أبي أحمد بن جحش القرشي </w:t>
      </w:r>
    </w:p>
    <w:p/>
    <w:p>
      <w:pPr/>
      <w:r>
        <w:rPr/>
        <w:t xml:space="preserve">يروي عن الحجازيين روى عنه بكير بن الأشج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2026-07-29T09:38:00+03:00</dcterms:created>
  <dcterms:modified xsi:type="dcterms:W3CDTF">2026-07-29T09:38:00+03:00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