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الأمجد
</w:t>
      </w:r>
    </w:p>
    <w:p>
      <w:pPr>
        <w:jc w:val="start"/>
        <w:bidi/>
      </w:pPr>
      <w:r>
        <w:rPr>
          <w:rFonts w:ascii="arial" w:hAnsi="arial" w:eastAsia="arial" w:cs="arial"/>
          <w:sz w:val="28"/>
          <w:szCs w:val="28"/>
          <w:b w:val="1"/>
          <w:bCs w:val="1"/>
          <w:rtl/>
        </w:rPr>
        <w:t xml:space="preserve">الملك الأمجد
</w:t>
      </w:r>
    </w:p>
    <w:p>
      <w:pPr/>
      <w:r>
        <w:rPr/>
        <w:t xml:space="preserve">الملك الأمجد  بهرام شاه بن فرخشاه بن شاهنشاه بن أيوب: شاعر. من ملوك الدولة الأيوبيو. كان صاحب بعلبك، تملكها بعد والده تسعا وأربعين سنة وأخرجه منها الملك الأشرف (سنة 627) فسكن دمشق وقتله مملوك له، بسبب دواد ثمينة سرقها المملوك وحبسه الأمجد في قصره. واحتال المملوك فخرج وأخذ سيف الأمجد وهو يلعب بالشطرنج (أو بالنرد) فطعنه في خاصرته، وهرب فألقى نفسه عن سطح الدار (وقيل: لحقه المماليك فقتلوه) ودفن الأمجد بتربة أبيه. قلت: هذا موجز ترجمته، وقد رأيت نسخة من (ديوانه) مخطوطة في الخزانة الخالدية بالقدس، نحو 180 صفحة جا في أولها أنها (مما نظمه الأمجد بهرام شاه في النسيب والغزل والحماسة، في مدة أولها شهر رمضان سنة 604) (وفي الظاهرية بدمشق نسخة من (ديوانه) في 48 ورقة لعلها متممة للأولى؟ وشعره جيد السبك حسن الأسلوب. قال أبو الفداء: هو أشعر بني أيوب. </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2026-09-21T09:27:49+03:00</dcterms:created>
  <dcterms:modified xsi:type="dcterms:W3CDTF">2026-09-21T09:27:49+03:00</dcterms:modified>
</cp:coreProperties>
</file>

<file path=docProps/custom.xml><?xml version="1.0" encoding="utf-8"?>
<Properties xmlns="http://schemas.openxmlformats.org/officeDocument/2006/custom-properties" xmlns:vt="http://schemas.openxmlformats.org/officeDocument/2006/docPropsVTypes"/>
</file>