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الرحمن، خال أبي جعفر، الخطمي، المدني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الرحمن، خال أبي جعفر، الخطمي، المدني 
</w:t>
      </w:r>
    </w:p>
    <w:p>
      <w:pPr/>
      <w:r>
        <w:rPr/>
        <w:t xml:space="preserve">عبد الرحمن، خال أبي جعفر، الخطمي، المدني. </w:t>
      </w:r>
    </w:p>
    <w:p/>
    <w:p>
      <w:pPr/>
      <w:r>
        <w:rPr/>
        <w:t xml:space="preserve">عن عقبة بن الفاكه.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
</w:t>
      </w:r>
    </w:p>
    <w:p>
      <w:pPr/>
      <w:r>
        <w:rPr/>
        <w:t xml:space="preserve">عبد الرحمن </w:t>
      </w:r>
    </w:p>
    <w:p/>
    <w:p>
      <w:pPr/>
      <w:r>
        <w:rPr/>
        <w:t xml:space="preserve">خال أبي جعفر الخطمي المديني</w:t>
      </w:r>
    </w:p>
    <w:p/>
    <w:p>
      <w:pPr/>
      <w:r>
        <w:rPr/>
        <w:t xml:space="preserve">روى عن عقبة بن الفاكه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2026-07-28T09:58:35+03:00</dcterms:created>
  <dcterms:modified xsi:type="dcterms:W3CDTF">2026-07-28T09:58:35+03:00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