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الخطيب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الخطيب القمي
</w:t>
      </w:r>
    </w:p>
    <w:p>
      <w:pPr/>
      <w:r>
        <w:rPr/>
        <w:t xml:space="preserve">السيد أبو طالب الخطيب القمي توفي سنة 1122.</w:t>
      </w:r>
    </w:p>
    <w:p/>
    <w:p>
      <w:pPr/>
      <w:r>
        <w:rPr/>
        <w:t xml:space="preserve">كان من علماء بلدة قم وخطيب حرم السيدة فاطمة أخت الرضا عليه السلام معروفا بحسن الخط وتوجد بعض الكتابة بخطه في سقوف المشهد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2026-10-19T14:14:12+03:00</dcterms:created>
  <dcterms:modified xsi:type="dcterms:W3CDTF">2026-10-19T14:14:12+03:00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