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السقاف
</w:t>
      </w:r>
    </w:p>
    <w:p>
      <w:pPr>
        <w:jc w:val="start"/>
        <w:bidi/>
      </w:pPr>
      <w:r>
        <w:rPr>
          <w:rFonts w:ascii="arial" w:hAnsi="arial" w:eastAsia="arial" w:cs="arial"/>
          <w:sz w:val="28"/>
          <w:szCs w:val="28"/>
          <w:b w:val="1"/>
          <w:bCs w:val="1"/>
          <w:rtl/>
        </w:rPr>
        <w:t xml:space="preserve">أبو بكر السقاف
</w:t>
      </w:r>
    </w:p>
    <w:p>
      <w:pPr/>
      <w:r>
        <w:rPr/>
        <w:t xml:space="preserve">أبو بكر السقاف  أبو بكر بن سالم بن عبد الله السقاف الحضرمي: متصوف له تصانيف. ولد وتعلم في تريم (من بلاد حضرموت) وسكن عينات من (قرى تريم) فكانت له فيها زعامة، تنشر أمام موكبه الأعلام وتضرب بين يديه الطاسات، إلى ان توفى. من كتبه (معراج الأرواح) ومفتاح السرائر) و (فتح باب المواهب) كلها في التصوف. وله نظم ليس بشيء</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2026-09-21T07:08:49+03:00</dcterms:created>
  <dcterms:modified xsi:type="dcterms:W3CDTF">2026-09-21T07:08:49+03:00</dcterms:modified>
</cp:coreProperties>
</file>

<file path=docProps/custom.xml><?xml version="1.0" encoding="utf-8"?>
<Properties xmlns="http://schemas.openxmlformats.org/officeDocument/2006/custom-properties" xmlns:vt="http://schemas.openxmlformats.org/officeDocument/2006/docPropsVTypes"/>
</file>