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خراسان
</w:t>
      </w:r>
    </w:p>
    <w:p>
      <w:pPr>
        <w:jc w:val="start"/>
        <w:bidi/>
      </w:pPr>
      <w:r>
        <w:rPr>
          <w:rFonts w:ascii="arial" w:hAnsi="arial" w:eastAsia="arial" w:cs="arial"/>
          <w:sz w:val="28"/>
          <w:szCs w:val="28"/>
          <w:b w:val="1"/>
          <w:bCs w:val="1"/>
          <w:rtl/>
        </w:rPr>
        <w:t xml:space="preserve">ابن خراسان
</w:t>
      </w:r>
    </w:p>
    <w:p>
      <w:pPr/>
      <w:r>
        <w:rPr/>
        <w:t xml:space="preserve">ابن خراسان  أبو بكر بن أسماعيل بن عبد الحق بن عبد العزيز بن خراسان: رابع أمراء تونس من بني خراسان. وكانت قد خرجت من أيديهم سنة 522هـ ، (انظر ترجمة أحمد بن عبد العزيز بن خراسان. وتولاها بنو حماد مدة. ونشبت فيها ثورات انتهت بخروج أميرها معد بن المنصور (ابن حماد) منها سنة 543هـ ، ووقعت الفتنة بين أهلها فأتفق بعض عقلائها على دعوة صاحب الترجمة وكان مقيما في بنزرت (فر إليها لما قتل أحمد بن عبد العزيز أباه سماعيل) فجاءها، واقام في إمارتها شبعة أشهرثم غدر به عبد الله بن اخيه عبد العزيز بن إسماعيل ووضعه في قارب ورماه في البحر ميتا عند قلعة ابن غبوش (بفتح الغين وضم الباء الموحدة المخففة) واشاع في الناس أنه غرق</w:t>
      </w:r>
    </w:p>
    <w:p>
      <w:pPr>
        <w:jc w:val="start"/>
        <w:bidi/>
      </w:pPr>
      <w:r>
        <w:rPr>
          <w:sz w:val="24"/>
          <w:szCs w:val="24"/>
          <w:b w:val="1"/>
          <w:bCs w:val="1"/>
          <w:rtl/>
        </w:rPr>
        <w:t xml:space="preserve">
الأعلام،(دار العلم للملايين - بيروت،2002،ط 15،ج 2،ص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2026-09-21T06:49:47+03:00</dcterms:created>
  <dcterms:modified xsi:type="dcterms:W3CDTF">2026-09-21T06:49:47+03:00</dcterms:modified>
</cp:coreProperties>
</file>

<file path=docProps/custom.xml><?xml version="1.0" encoding="utf-8"?>
<Properties xmlns="http://schemas.openxmlformats.org/officeDocument/2006/custom-properties" xmlns:vt="http://schemas.openxmlformats.org/officeDocument/2006/docPropsVTypes"/>
</file>