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بطرس غالي
</w:t>
      </w:r>
    </w:p>
    <w:p>
      <w:pPr>
        <w:jc w:val="start"/>
        <w:bidi/>
      </w:pPr>
      <w:r>
        <w:rPr>
          <w:rFonts w:ascii="arial" w:hAnsi="arial" w:eastAsia="arial" w:cs="arial"/>
          <w:sz w:val="28"/>
          <w:szCs w:val="28"/>
          <w:b w:val="1"/>
          <w:bCs w:val="1"/>
          <w:rtl/>
        </w:rPr>
        <w:t xml:space="preserve">بطرس غالي
</w:t>
      </w:r>
    </w:p>
    <w:p>
      <w:pPr/>
      <w:r>
        <w:rPr/>
        <w:t xml:space="preserve">بطرس غالي  بطرس (باشا) ابن غالي نيروز: وزير مصري. من الأقباط الأرثوذكس. له ذكر في تاريخ مصر الحديث. ولد بالميمون (من قرى بني سويف) وتعلم بمصر وأوربا. وحذق بضع لغات. وتقلب في المناصب. ولي نظارة المالية فالخارجية فرئاسة مجلس النظار. ونقم عليه الوطنيون المصريون إمضائه اتفاقية السودان، وترؤسه محكمة دنشواي، وإعادته قانون المطبوعات، ومقاومته الجمععية العمومية، ورضاه بمشروع قناة السويس؛ فانبرى له إبراهيم ناصف الورداني (شاب من أقباط مصر) فقتله وقتل به</w:t>
      </w:r>
    </w:p>
    <w:p>
      <w:pPr>
        <w:jc w:val="start"/>
        <w:bidi/>
      </w:pPr>
      <w:r>
        <w:rPr>
          <w:sz w:val="24"/>
          <w:szCs w:val="24"/>
          <w:b w:val="1"/>
          <w:bCs w:val="1"/>
          <w:rtl/>
        </w:rPr>
        <w:t xml:space="preserve">
الأعلام،(دار العلم للملايين - بيروت،2002،ط 15،ج 2،ص 59)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2026-09-21T05:43:09+03:00</dcterms:created>
  <dcterms:modified xsi:type="dcterms:W3CDTF">2026-09-21T05:43:09+03:00</dcterms:modified>
</cp:coreProperties>
</file>

<file path=docProps/custom.xml><?xml version="1.0" encoding="utf-8"?>
<Properties xmlns="http://schemas.openxmlformats.org/officeDocument/2006/custom-properties" xmlns:vt="http://schemas.openxmlformats.org/officeDocument/2006/docPropsVTypes"/>
</file>