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الروح الميهني
</w:t>
      </w:r>
    </w:p>
    <w:p>
      <w:pPr>
        <w:jc w:val="start"/>
        <w:bidi/>
      </w:pPr>
      <w:r>
        <w:rPr>
          <w:rFonts w:ascii="arial" w:hAnsi="arial" w:eastAsia="arial" w:cs="arial"/>
          <w:sz w:val="28"/>
          <w:szCs w:val="28"/>
          <w:b w:val="1"/>
          <w:bCs w:val="1"/>
          <w:rtl/>
        </w:rPr>
        <w:t xml:space="preserve">أبو الروح الميهني
</w:t>
      </w:r>
    </w:p>
    <w:p>
      <w:pPr/>
      <w:r>
        <w:rPr/>
        <w:t xml:space="preserve">أبو الروح الميهني </w:t>
      </w:r>
    </w:p>
    <w:p/>
    <w:p>
      <w:pPr/>
      <w:r>
        <w:rPr/>
        <w:t xml:space="preserve">منهم أبو روح لطف الله بن سعد بن أسعد بن سعيد ابن أبي سعيد فضل الله بن أبي الخير أحمد بن محمد بن إبراهيم الميهني الصوفي من أهل ميهنة.</w:t>
      </w:r>
    </w:p>
    <w:p/>
    <w:p>
      <w:pPr/>
      <w:r>
        <w:rPr/>
        <w:t xml:space="preserve">من أحفاد الشيخ أبي سعيد ابن أبي الخير، كان شيخاً فاضلاً ظريف الجملة والتفصيل، محبوباً، متودداً، حسن الوجه، مليح العشرة، خفيفاً. سمع جده أسعد بن سعيد وغيره. كتبت عنه شيئاً يسيراً بمرو. وكان قدمها، وكانت ولادته قبل سنة تسعين وأربعمئة. وتوفي بميهنة في الخامس من شهر رمضان سنة إحدى وأربعين وخمسمئة.</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2026-07-28T09:12:59+03:00</dcterms:created>
  <dcterms:modified xsi:type="dcterms:W3CDTF">2026-07-28T09:12:59+03:00</dcterms:modified>
</cp:coreProperties>
</file>

<file path=docProps/custom.xml><?xml version="1.0" encoding="utf-8"?>
<Properties xmlns="http://schemas.openxmlformats.org/officeDocument/2006/custom-properties" xmlns:vt="http://schemas.openxmlformats.org/officeDocument/2006/docPropsVTypes"/>
</file>