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تراب ابن الشيخ محمد علي
</w:t>
      </w:r>
    </w:p>
    <w:p>
      <w:pPr>
        <w:jc w:val="start"/>
        <w:bidi/>
      </w:pPr>
      <w:r>
        <w:rPr>
          <w:rFonts w:ascii="arial" w:hAnsi="arial" w:eastAsia="arial" w:cs="arial"/>
          <w:sz w:val="28"/>
          <w:szCs w:val="28"/>
          <w:b w:val="1"/>
          <w:bCs w:val="1"/>
          <w:rtl/>
        </w:rPr>
        <w:t xml:space="preserve">الشيخ أبو تراب ابن الشيخ محمد علي
</w:t>
      </w:r>
    </w:p>
    <w:p>
      <w:pPr/>
      <w:r>
        <w:rPr/>
        <w:t xml:space="preserve">الشيخ أبو تراب ابن الشيخ محمد علي المحلاتي نزيل شيراز</w:t>
      </w:r>
    </w:p>
    <w:p/>
    <w:p>
      <w:pPr/>
      <w:r>
        <w:rPr/>
        <w:t xml:space="preserve">توفي في النجف الأشرف سنة 1288.</w:t>
      </w:r>
    </w:p>
    <w:p/>
    <w:p>
      <w:pPr/>
      <w:r>
        <w:rPr/>
        <w:t xml:space="preserve">كان من الأفاضل والعلماء الربانيين المداومين على المراقبة والعبادة جاء إلى النجف الأشرف لتحصيل الفقه وكان غزير الدمعة لم ير مثله في كثرة البكاء والعبادة وكان يقف عند رأس أمير المؤمنين عليه السلام ليلة الجمعة ويأخذ بدعاء كميل مع كامل التوجه من أول الدعاء إلى آخره ولا يتغير إقباله ولا بكاؤه.</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2026-10-18T10:58:44+03:00</dcterms:created>
  <dcterms:modified xsi:type="dcterms:W3CDTF">2026-10-18T10:58:44+03:00</dcterms:modified>
</cp:coreProperties>
</file>

<file path=docProps/custom.xml><?xml version="1.0" encoding="utf-8"?>
<Properties xmlns="http://schemas.openxmlformats.org/officeDocument/2006/custom-properties" xmlns:vt="http://schemas.openxmlformats.org/officeDocument/2006/docPropsVTypes"/>
</file>