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المدني
</w:t>
      </w:r>
    </w:p>
    <w:p>
      <w:pPr/>
      <w:r>
        <w:rPr/>
        <w:t xml:space="preserve">أبو أيوب المدني وفي بعض الأسانيد بعد المدني مولى بني هاشم.</w:t>
      </w:r>
    </w:p>
    <w:p/>
    <w:p>
      <w:pPr/>
      <w:r>
        <w:rPr/>
        <w:t xml:space="preserve">قال النجاشي قال ابن نوح حدثنا محمد بن علي بن هشام قال حدثنا علي بن محمد ما جيلويه بكتاب أبي أيوب المدني ’’اه’’.</w:t>
      </w:r>
    </w:p>
    <w:p/>
    <w:p>
      <w:pPr/>
      <w:r>
        <w:rPr/>
        <w:t xml:space="preserve">وظاهره أن أبا أيوب المدني غير الأنباري وظاهر نا تقدم عن الفهرست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2026-10-18T06:40:05+03:00</dcterms:created>
  <dcterms:modified xsi:type="dcterms:W3CDTF">2026-10-18T06:40:05+03:00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