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بن سعيد بن حمدان
</w:t>
      </w:r>
    </w:p>
    <w:p>
      <w:pPr>
        <w:jc w:val="start"/>
        <w:bidi/>
      </w:pPr>
      <w:r>
        <w:rPr>
          <w:rFonts w:ascii="arial" w:hAnsi="arial" w:eastAsia="arial" w:cs="arial"/>
          <w:sz w:val="28"/>
          <w:szCs w:val="28"/>
          <w:b w:val="1"/>
          <w:bCs w:val="1"/>
          <w:rtl/>
        </w:rPr>
        <w:t xml:space="preserve">أبو الأغر بن سعيد بن حمدان
</w:t>
      </w:r>
    </w:p>
    <w:p>
      <w:pPr/>
      <w:r>
        <w:rPr/>
        <w:t xml:space="preserve">أبو الأغر بن سعيد بن حمدان قتل سنة 321.</w:t>
      </w:r>
    </w:p>
    <w:p/>
    <w:p>
      <w:pPr/>
      <w:r>
        <w:rPr/>
        <w:t xml:space="preserve">اسمه أحمد (وتأتي ترجمته في أحمد ج8) وهو ابن عم ناصر الدولة الحسن بن عبد الله بن حمدان قال ابن الأثير في حوادث سنة 321 في هذه السنة اجتمعت بنو ثعلبة إلى بني أسد القاصدين إلى أرض الموصل ومن معهم من طي فصاروا يدا واحدة على بني مالك ومن معهم من تغلب وقرب بعضهم من بعض للحرب فركب ناصر الدولة الحسن بن عبد الله بن حمدان في أهله ورجاله ومعه أبو الأغر بن سعيد بن حمدان للصلح بينهم قتلكم أبو الأغر فطعنه رجل من بني ثعلبة فقتله فحمل عليهم ناصر الدولة ومن معه فانهزموا وملكت بيوتهم’’الخبر’’.</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2026-07-27T16:41:11+03:00</dcterms:created>
  <dcterms:modified xsi:type="dcterms:W3CDTF">2026-07-27T16:41:11+03:00</dcterms:modified>
</cp:coreProperties>
</file>

<file path=docProps/custom.xml><?xml version="1.0" encoding="utf-8"?>
<Properties xmlns="http://schemas.openxmlformats.org/officeDocument/2006/custom-properties" xmlns:vt="http://schemas.openxmlformats.org/officeDocument/2006/docPropsVTypes"/>
</file>