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ميمون، أراه القداح 
</w:t>
      </w:r>
    </w:p>
    <w:p>
      <w:pPr/>
      <w:r>
        <w:rPr/>
        <w:t xml:space="preserve">عبد الله بن ميمون، أراه القداح. </w:t>
      </w:r>
    </w:p>
    <w:p/>
    <w:p>
      <w:pPr/>
      <w:r>
        <w:rPr/>
        <w:t xml:space="preserve">ذاهب الحديث.</w:t>
      </w:r>
    </w:p>
    <w:p/>
    <w:p>
      <w:pPr/>
      <w:r>
        <w:rPr/>
        <w:t xml:space="preserve">عن جعفر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ميمون
</w:t>
      </w:r>
    </w:p>
    <w:p>
      <w:pPr/>
      <w:r>
        <w:rPr/>
        <w:t xml:space="preserve">ابن ميمون </w:t>
      </w:r>
    </w:p>
    <w:p/>
    <w:p>
      <w:pPr/>
      <w:r>
        <w:rPr/>
        <w:t xml:space="preserve">عبد الله القداح ومحمد الخياط 3012 5181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2026-10-18T00:51:55+03:00</dcterms:created>
  <dcterms:modified xsi:type="dcterms:W3CDTF">2026-10-18T00:51:55+03:00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