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بارق
</w:t>
      </w:r>
    </w:p>
    <w:p>
      <w:pPr/>
      <w:r>
        <w:rPr/>
        <w:t xml:space="preserve">بارق  بارق (وقالوا: اسمه سعد، وبارق لقبه) ابن عدي بن حارثة، من خزاعة: جد جاهلي، من نسله سراقة البارقي (الشاعر) قال جرير يهجوه:</w:t>
      </w:r>
    </w:p>
    <w:p/>
    <w:p>
      <w:pPr>
        <w:jc w:val="center"/>
      </w:pPr>
      <w:r>
        <w:rPr>
          <w:color w:val="ff0000"/>
        </w:rPr>
        <w:t xml:space="preserve">وإذا لقيت مجيلسا من 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لاقيت أطبع مجلس أخلاقا</w:t>
      </w:r>
    </w:p>
    <w:p/>
    <w:p>
      <w:pPr/>
      <w:r>
        <w:rPr/>
        <w:t xml:space="preserve">والطبع - بفتحتين - الشين والعيب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2026-09-21T02:12:26+03:00</dcterms:created>
  <dcterms:modified xsi:type="dcterms:W3CDTF">2026-09-21T02:12:26+03:00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