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بشارة
</w:t>
      </w:r>
    </w:p>
    <w:p>
      <w:pPr>
        <w:jc w:val="start"/>
        <w:bidi/>
      </w:pPr>
      <w:r>
        <w:rPr>
          <w:rFonts w:ascii="arial" w:hAnsi="arial" w:eastAsia="arial" w:cs="arial"/>
          <w:sz w:val="28"/>
          <w:szCs w:val="28"/>
          <w:b w:val="1"/>
          <w:bCs w:val="1"/>
          <w:rtl/>
        </w:rPr>
        <w:t xml:space="preserve">ابن بشارة
</w:t>
      </w:r>
    </w:p>
    <w:p>
      <w:pPr/>
      <w:r>
        <w:rPr/>
        <w:t xml:space="preserve">ابن بشارة  أيوب بن حسن بن محمد، نجم الدين ابن بد الدين ابن ناصر الدين، المعروف بابن بشارة: مقدم العشير في البلاد الشامية. كانت إقامته بصيدا. وقبض عليه السلطان جقمق سنة 853هـ ، وحبسه ببرج القلعة بالقاهرة. ثم أطلق وعاد إلى صيدا، فبلغه أن جموعا من الإفرنج في أكثر من عشرين مركبا أغاروا على مدينة صور ونهبوها (سنة 855هـ) فأقبل مسرعا برجاله، فقاتلهم وأجلاهم عن البلد، وقبض على عدة منهم وقطع رؤوسهم. وزار الديار المصرية على أثر ذلك فلم يلبث أن رجع إلى إمارته. وكان شجاعا بطاشا. </w:t>
      </w:r>
    </w:p>
    <w:p>
      <w:pPr>
        <w:jc w:val="start"/>
        <w:bidi/>
      </w:pPr>
      <w:r>
        <w:rPr>
          <w:sz w:val="24"/>
          <w:szCs w:val="24"/>
          <w:b w:val="1"/>
          <w:bCs w:val="1"/>
          <w:rtl/>
        </w:rPr>
        <w:t xml:space="preserve">
الأعلام،(دار العلم للملايين - بيروت،2002،ط 15،ج 2،ص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2026-09-21T00:54:29+03:00</dcterms:created>
  <dcterms:modified xsi:type="dcterms:W3CDTF">2026-09-21T00:54:29+03:00</dcterms:modified>
</cp:coreProperties>
</file>

<file path=docProps/custom.xml><?xml version="1.0" encoding="utf-8"?>
<Properties xmlns="http://schemas.openxmlformats.org/officeDocument/2006/custom-properties" xmlns:vt="http://schemas.openxmlformats.org/officeDocument/2006/docPropsVTypes"/>
</file>