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القاسم بن محمد بن عبد الله الكبسنى
</w:t>
      </w:r>
    </w:p>
    <w:p>
      <w:pPr>
        <w:jc w:val="start"/>
        <w:bidi/>
      </w:pPr>
      <w:r>
        <w:rPr>
          <w:rFonts w:ascii="arial" w:hAnsi="arial" w:eastAsia="arial" w:cs="arial"/>
          <w:sz w:val="28"/>
          <w:szCs w:val="28"/>
          <w:b w:val="1"/>
          <w:bCs w:val="1"/>
          <w:rtl/>
        </w:rPr>
        <w:t xml:space="preserve">السيد القاسم بن محمد بن عبد الله الكبسنى
</w:t>
      </w:r>
    </w:p>
    <w:p>
      <w:pPr/>
      <w:r>
        <w:rPr/>
        <w:t xml:space="preserve">السيد القاسم بن محمد بن عبد الله الكبسنى </w:t>
      </w:r>
    </w:p>
    <w:p/>
    <w:p>
      <w:pPr/>
      <w:r>
        <w:rPr/>
        <w:t xml:space="preserve">ولد سنة 1121 إحدى وعشرين ومائة وألف ثم طلب العلم فقرأ على مشايخ مدينة صنعاء وبرع في العلوم ولاسيما علم الحديث فإنه صار فيه إماماً كبيرا وأخذ عنه الناس في صنعاء طبقة بعد طبقة وانتفعوا به وكان يتولى في بعض الأوقات فتولى وقف ثلا وبقى هنالك أياماً وعاد إلى صنعاء واستمر على نشر العلم وطال عمره وضعف عن الحركة في آخر عمره وهو شيخ شيوخنا ولو سمعت منه لكان ذلك ممكنا وله رسائل وأجوبة مفيدة موجودة ومات سنة 1201 إحدى ومائتين وألف</w:t>
      </w:r>
    </w:p>
    <w:p>
      <w:pPr>
        <w:jc w:val="start"/>
        <w:bidi/>
      </w:pPr>
      <w:r>
        <w:rPr>
          <w:sz w:val="24"/>
          <w:szCs w:val="24"/>
          <w:b w:val="1"/>
          <w:bCs w:val="1"/>
          <w:rtl/>
        </w:rPr>
        <w:t xml:space="preserve">
البدر الطالع بمحاسن من بعد القرن السابع،(دار المعرفة - بيروت،0،ط 1،ج 2،ص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2026-07-27T23:00:09+03:00</dcterms:created>
  <dcterms:modified xsi:type="dcterms:W3CDTF">2026-07-27T23:00:09+03:00</dcterms:modified>
</cp:coreProperties>
</file>

<file path=docProps/custom.xml><?xml version="1.0" encoding="utf-8"?>
<Properties xmlns="http://schemas.openxmlformats.org/officeDocument/2006/custom-properties" xmlns:vt="http://schemas.openxmlformats.org/officeDocument/2006/docPropsVTypes"/>
</file>