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جمال الدين بن إسماعيل العصامي
</w:t>
      </w:r>
    </w:p>
    <w:p>
      <w:pPr>
        <w:jc w:val="start"/>
        <w:bidi/>
      </w:pPr>
      <w:r>
        <w:rPr>
          <w:rFonts w:ascii="arial" w:hAnsi="arial" w:eastAsia="arial" w:cs="arial"/>
          <w:sz w:val="28"/>
          <w:szCs w:val="28"/>
          <w:b w:val="1"/>
          <w:bCs w:val="1"/>
          <w:rtl/>
        </w:rPr>
        <w:t xml:space="preserve">عبد الملك بن جمال الدين بن إسماعيل العصامي
</w:t>
      </w:r>
    </w:p>
    <w:p>
      <w:pPr/>
      <w:r>
        <w:rPr/>
        <w:t xml:space="preserve">عبد الملك بن جمال الدين بن إسماعيل العصامي </w:t>
      </w:r>
    </w:p>
    <w:p/>
    <w:p>
      <w:pPr/>
      <w:r>
        <w:rPr/>
        <w:t xml:space="preserve">جد المذكور قبله ولد سنة 978 ثمان وسبعين وتسعمائة بمكة ونشأ بها وأخذ عن مشايخها وبرع في العلوم وصنف مصنفات منها شرح الشذور وشرح القطر وشرح الشمائل وشرح الألفية وغير ذلك قال حفيده المتقدم قبله أنها بلغت مصنفاته ستين مصنفا ومات سنة 1037 سبع وثلاثين وألف</w:t>
      </w:r>
    </w:p>
    <w:p>
      <w:pPr>
        <w:jc w:val="start"/>
        <w:bidi/>
      </w:pPr>
      <w:r>
        <w:rPr>
          <w:sz w:val="24"/>
          <w:szCs w:val="24"/>
          <w:b w:val="1"/>
          <w:bCs w:val="1"/>
          <w:rtl/>
        </w:rPr>
        <w:t xml:space="preserve">
البدر الطالع بمحاسن من بعد القرن السابع،(دار المعرفة - بيروت،0،ط 1،ج 1،ص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2026-07-27T20:35:05+03:00</dcterms:created>
  <dcterms:modified xsi:type="dcterms:W3CDTF">2026-07-27T20:35:05+03:00</dcterms:modified>
</cp:coreProperties>
</file>

<file path=docProps/custom.xml><?xml version="1.0" encoding="utf-8"?>
<Properties xmlns="http://schemas.openxmlformats.org/officeDocument/2006/custom-properties" xmlns:vt="http://schemas.openxmlformats.org/officeDocument/2006/docPropsVTypes"/>
</file>