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عبد الله بن علي بن عبد الله الجلال
</w:t>
      </w:r>
    </w:p>
    <w:p>
      <w:pPr>
        <w:jc w:val="start"/>
        <w:bidi/>
      </w:pPr>
      <w:r>
        <w:rPr>
          <w:rFonts w:ascii="arial" w:hAnsi="arial" w:eastAsia="arial" w:cs="arial"/>
          <w:sz w:val="28"/>
          <w:szCs w:val="28"/>
          <w:b w:val="1"/>
          <w:bCs w:val="1"/>
          <w:rtl/>
        </w:rPr>
        <w:t xml:space="preserve">السيد عبد الله بن علي بن عبد الله الجلال
</w:t>
      </w:r>
    </w:p>
    <w:p>
      <w:pPr/>
      <w:r>
        <w:rPr/>
        <w:t xml:space="preserve">السيد عبد الله بن علي بن عبد الله الجلال </w:t>
      </w:r>
    </w:p>
    <w:p/>
    <w:p>
      <w:pPr/>
      <w:r>
        <w:rPr/>
        <w:t xml:space="preserve">ولد تقريباً على رأس القرن الثاني عشر أو أول القرن الثالث عشر وقرا على والده وغير في الآلات وغيرها وهو حاد الذهن جيد الفهم حسن الإدراك قوي التصور وله شعر بديع جداً لا يلحقه فيه غيره وقد كتب إلى منه بقصائد طنانة وله قراءة علي الآن في المطول وحضور في سماع كثير من كتب الحديث وشروحها وهو في سن الشاب جمل الله به العصر</w:t>
      </w:r>
    </w:p>
    <w:p>
      <w:pPr>
        <w:jc w:val="start"/>
        <w:bidi/>
      </w:pPr>
      <w:r>
        <w:rPr>
          <w:sz w:val="24"/>
          <w:szCs w:val="24"/>
          <w:b w:val="1"/>
          <w:bCs w:val="1"/>
          <w:rtl/>
        </w:rPr>
        <w:t xml:space="preserve">
البدر الطالع بمحاسن من بعد القرن السابع،(دار المعرفة - بيروت،0،ط 1،ج 1،ص 387)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2026-07-28T02:47:39+03:00</dcterms:created>
  <dcterms:modified xsi:type="dcterms:W3CDTF">2026-07-28T02:47:39+03:00</dcterms:modified>
</cp:coreProperties>
</file>

<file path=docProps/custom.xml><?xml version="1.0" encoding="utf-8"?>
<Properties xmlns="http://schemas.openxmlformats.org/officeDocument/2006/custom-properties" xmlns:vt="http://schemas.openxmlformats.org/officeDocument/2006/docPropsVTypes"/>
</file>